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rFonts w:ascii="microsoft yahei" w:hAnsi="microsoft yahei" w:eastAsia="microsoft yahei" w:cs="microsoft yahei"/>
          <w:i w:val="0"/>
          <w:caps w:val="0"/>
          <w:color w:val="auto"/>
          <w:spacing w:val="0"/>
          <w:sz w:val="40"/>
          <w:szCs w:val="40"/>
        </w:rPr>
      </w:pPr>
      <w:r>
        <w:rPr>
          <w:rFonts w:hint="default" w:ascii="microsoft yahei" w:hAnsi="microsoft yahei" w:eastAsia="microsoft yahei" w:cs="microsoft yahei"/>
          <w:i w:val="0"/>
          <w:caps w:val="0"/>
          <w:color w:val="666666"/>
          <w:spacing w:val="0"/>
          <w:sz w:val="21"/>
          <w:szCs w:val="21"/>
          <w:shd w:val="clear" w:color="auto" w:fill="FFFFFF"/>
        </w:rPr>
        <w:t>　</w:t>
      </w:r>
      <w:r>
        <w:rPr>
          <w:rFonts w:ascii="方正小标宋简体" w:hAnsi="方正小标宋简体" w:eastAsia="方正小标宋简体" w:cs="方正小标宋简体"/>
          <w:i w:val="0"/>
          <w:caps w:val="0"/>
          <w:color w:val="auto"/>
          <w:spacing w:val="0"/>
          <w:sz w:val="40"/>
          <w:szCs w:val="40"/>
          <w:shd w:val="clear" w:color="auto" w:fill="FFFFFF"/>
          <w:vertAlign w:val="baseline"/>
        </w:rPr>
        <w:t>关于扎实稳定全省经济运行的一揽子政策措施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jc w:val="center"/>
        <w:rPr>
          <w:rFonts w:hint="default" w:ascii="microsoft yahei" w:hAnsi="microsoft yahei" w:eastAsia="microsoft yahei" w:cs="microsoft yahei"/>
          <w:i w:val="0"/>
          <w:caps w:val="0"/>
          <w:color w:val="auto"/>
          <w:spacing w:val="0"/>
          <w:sz w:val="21"/>
          <w:szCs w:val="21"/>
        </w:rPr>
      </w:pPr>
      <w:r>
        <w:rPr>
          <w:rFonts w:hint="default" w:ascii="microsoft yahei" w:hAnsi="microsoft yahei" w:eastAsia="microsoft yahei" w:cs="microsoft yahei"/>
          <w:i w:val="0"/>
          <w:caps w:val="0"/>
          <w:color w:val="auto"/>
          <w:spacing w:val="0"/>
          <w:sz w:val="21"/>
          <w:szCs w:val="21"/>
          <w:shd w:val="clear" w:color="auto"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21"/>
          <w:szCs w:val="21"/>
          <w:shd w:val="clear" w:color="auto" w:fill="FFFFFF"/>
        </w:rPr>
        <w:t>　　</w:t>
      </w:r>
      <w:r>
        <w:rPr>
          <w:rFonts w:ascii="仿宋_gb2312" w:hAnsi="仿宋_gb2312" w:eastAsia="仿宋_gb2312" w:cs="仿宋_gb2312"/>
          <w:i w:val="0"/>
          <w:caps w:val="0"/>
          <w:color w:val="auto"/>
          <w:spacing w:val="0"/>
          <w:sz w:val="32"/>
          <w:szCs w:val="32"/>
          <w:shd w:val="clear" w:color="auto" w:fill="FFFFFF"/>
          <w:vertAlign w:val="baseline"/>
        </w:rPr>
        <w:t>为贯彻落实国务院稳经济一揽子政策措施,高效统筹疫情防控和经济社会发展,解放思想,真抓实干,把稳增长放在更加突出位置,最大程度保护人民生命安全和身体健康,最大限度减少疫情对经济社会发展的影响,努力实现全年经济社会发展预期目标,现提出如下政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ascii="黑体" w:hAnsi="宋体" w:eastAsia="黑体" w:cs="黑体"/>
          <w:i w:val="0"/>
          <w:caps w:val="0"/>
          <w:color w:val="auto"/>
          <w:spacing w:val="0"/>
          <w:sz w:val="32"/>
          <w:szCs w:val="32"/>
          <w:shd w:val="clear" w:color="auto" w:fill="FFFFFF"/>
          <w:vertAlign w:val="baseline"/>
        </w:rPr>
        <w:t>一、加快落实财税政策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ascii="楷体_gb2312" w:hAnsi="楷体_gb2312" w:eastAsia="楷体_gb2312" w:cs="楷体_gb2312"/>
          <w:i w:val="0"/>
          <w:caps w:val="0"/>
          <w:color w:val="auto"/>
          <w:spacing w:val="0"/>
          <w:sz w:val="32"/>
          <w:szCs w:val="32"/>
          <w:shd w:val="clear" w:color="auto" w:fill="FFFFFF"/>
          <w:vertAlign w:val="baseline"/>
        </w:rPr>
        <w:t>1.加大增值税留抵退税政策力度。</w:t>
      </w:r>
      <w:r>
        <w:rPr>
          <w:rFonts w:hint="default" w:ascii="仿宋_gb2312" w:hAnsi="仿宋_gb2312" w:eastAsia="仿宋_gb2312" w:cs="仿宋_gb2312"/>
          <w:i w:val="0"/>
          <w:caps w:val="0"/>
          <w:color w:val="auto"/>
          <w:spacing w:val="0"/>
          <w:sz w:val="32"/>
          <w:szCs w:val="32"/>
          <w:shd w:val="clear" w:color="auto" w:fill="FFFFFF"/>
          <w:vertAlign w:val="baseline"/>
        </w:rPr>
        <w:t>在落实已出台的制造业等6个行业企业增值税留抵退税政策基础上,对批发和零售业,农、林、牧、渔业,住宿和餐饮业,居民服务、修理和其他服务业,教育,卫生和社会工作,文化、体育和娱乐业等7个行业企业,按月全额退还增量留抵税额、一次性全额退还存量留抵税额。抓紧办理小微企业、个体工商户留抵退税并加大帮扶力度,在纳税人自愿申请的基础上,6月30日前基本完成集中退还存量留抵税额。加强退税风险防范,依法严惩偷税、骗税等行为。</w:t>
      </w:r>
      <w:r>
        <w:rPr>
          <w:rFonts w:hint="default" w:ascii="楷体_gb2312" w:hAnsi="楷体_gb2312" w:eastAsia="楷体_gb2312" w:cs="楷体_gb2312"/>
          <w:i w:val="0"/>
          <w:caps w:val="0"/>
          <w:color w:val="auto"/>
          <w:spacing w:val="0"/>
          <w:sz w:val="32"/>
          <w:szCs w:val="32"/>
          <w:shd w:val="clear" w:color="auto" w:fill="FFFFFF"/>
          <w:vertAlign w:val="baseline"/>
        </w:rPr>
        <w:t>(省财政厅、省税务局负责)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2.全面落实研发费用加计扣除政策。</w:t>
      </w:r>
      <w:r>
        <w:rPr>
          <w:rFonts w:hint="default" w:ascii="仿宋_gb2312" w:hAnsi="仿宋_gb2312" w:eastAsia="仿宋_gb2312" w:cs="仿宋_gb2312"/>
          <w:i w:val="0"/>
          <w:caps w:val="0"/>
          <w:color w:val="auto"/>
          <w:spacing w:val="0"/>
          <w:sz w:val="32"/>
          <w:szCs w:val="32"/>
          <w:shd w:val="clear" w:color="auto" w:fill="FFFFFF"/>
          <w:vertAlign w:val="baseline"/>
        </w:rPr>
        <w:t>从信息共享、资格认定、日常服务、项目鉴定等方面细化落实举措,加强培训辅导,分类做好政策解读,让企业应知尽知、应享尽享研发费用加计扣除红利,最大限度释放研发费用加计扣除政策效应。对全年企业研发费用加计扣除额增幅排前10名的县(市、区),按加计扣除新增减税额市县负担部分的100%给予奖励。</w:t>
      </w:r>
      <w:r>
        <w:rPr>
          <w:rFonts w:hint="default" w:ascii="楷体_gb2312" w:hAnsi="楷体_gb2312" w:eastAsia="楷体_gb2312" w:cs="楷体_gb2312"/>
          <w:i w:val="0"/>
          <w:caps w:val="0"/>
          <w:color w:val="auto"/>
          <w:spacing w:val="0"/>
          <w:sz w:val="32"/>
          <w:szCs w:val="32"/>
          <w:shd w:val="clear" w:color="auto" w:fill="FFFFFF"/>
          <w:vertAlign w:val="baseline"/>
        </w:rPr>
        <w:t>(省税务局、省科技厅、省财政厅、省发展改革委、省工业和信息化厅负责)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3.加大中小微企业设备器具税前扣除力度</w:t>
      </w:r>
      <w:r>
        <w:rPr>
          <w:rFonts w:hint="default" w:ascii="仿宋_gb2312" w:hAnsi="仿宋_gb2312" w:eastAsia="仿宋_gb2312" w:cs="仿宋_gb2312"/>
          <w:i w:val="0"/>
          <w:caps w:val="0"/>
          <w:color w:val="auto"/>
          <w:spacing w:val="0"/>
          <w:sz w:val="32"/>
          <w:szCs w:val="32"/>
          <w:shd w:val="clear" w:color="auto" w:fill="FFFFFF"/>
          <w:vertAlign w:val="baseline"/>
        </w:rPr>
        <w:t>。中小微企业在2022年度内新购置的单位价值在500万元以上的设备、器具,折旧年限为3年的可选择一次性税前扣除,折旧年限为4年、5年、10年的可减半扣除;企业可按季度享受优惠,当年不足扣除形成的亏损,可按规定在以后5个纳税年度结转扣除。</w:t>
      </w:r>
      <w:r>
        <w:rPr>
          <w:rFonts w:hint="default" w:ascii="楷体_gb2312" w:hAnsi="楷体_gb2312" w:eastAsia="楷体_gb2312" w:cs="楷体_gb2312"/>
          <w:i w:val="0"/>
          <w:caps w:val="0"/>
          <w:color w:val="auto"/>
          <w:spacing w:val="0"/>
          <w:sz w:val="32"/>
          <w:szCs w:val="32"/>
          <w:shd w:val="clear" w:color="auto" w:fill="FFFFFF"/>
          <w:vertAlign w:val="baseline"/>
        </w:rPr>
        <w:t>(省税务局负责)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4.加快财政支出进度。</w:t>
      </w:r>
      <w:r>
        <w:rPr>
          <w:rFonts w:hint="default" w:ascii="仿宋_gb2312" w:hAnsi="仿宋_gb2312" w:eastAsia="仿宋_gb2312" w:cs="仿宋_gb2312"/>
          <w:i w:val="0"/>
          <w:caps w:val="0"/>
          <w:color w:val="auto"/>
          <w:spacing w:val="0"/>
          <w:sz w:val="32"/>
          <w:szCs w:val="32"/>
          <w:shd w:val="clear" w:color="auto" w:fill="FFFFFF"/>
          <w:vertAlign w:val="baseline"/>
        </w:rPr>
        <w:t>省、市两级转移支付尚未下达的,原则上6月中旬前全部下达(除据实结算等特殊项目外);中央转移支付在规定时间内下达。加大盘活存量资金力度,对结余资金和连续两年未用完的结转资金按规定收回统筹使用,对不足两年的结转资金中不需按原用途使用的要收回统筹用于经济社会发展急需支持的领域。加大财力下沉力度,加强库款调度,压实市县责任,确保基层平稳运转。</w:t>
      </w:r>
      <w:r>
        <w:rPr>
          <w:rFonts w:hint="default" w:ascii="楷体_gb2312" w:hAnsi="楷体_gb2312" w:eastAsia="楷体_gb2312" w:cs="楷体_gb2312"/>
          <w:i w:val="0"/>
          <w:caps w:val="0"/>
          <w:color w:val="auto"/>
          <w:spacing w:val="0"/>
          <w:sz w:val="32"/>
          <w:szCs w:val="32"/>
          <w:shd w:val="clear" w:color="auto" w:fill="FFFFFF"/>
          <w:vertAlign w:val="baseline"/>
        </w:rPr>
        <w:t>(省财政厅负责)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5.加快地方政府专项债券发行使用。</w:t>
      </w:r>
      <w:r>
        <w:rPr>
          <w:rFonts w:hint="default" w:ascii="仿宋_gb2312" w:hAnsi="仿宋_gb2312" w:eastAsia="仿宋_gb2312" w:cs="仿宋_gb2312"/>
          <w:i w:val="0"/>
          <w:caps w:val="0"/>
          <w:color w:val="auto"/>
          <w:spacing w:val="0"/>
          <w:sz w:val="32"/>
          <w:szCs w:val="32"/>
          <w:shd w:val="clear" w:color="auto" w:fill="FFFFFF"/>
          <w:vertAlign w:val="baseline"/>
        </w:rPr>
        <w:t>加快项目前期工作,及时办理立项规划用地环评等前期手续,落实建设条件,使国家审核通过的储备项目尽快转化为实施项目。加快专项债券发行使用,力争6月中旬基本发行完毕,同时加快项目建设和资金支付进度,力争在8月底前基本使用完毕。鼓励将专项债券按规定用作重大项目资本金,引导商业银行对符合条件的专项债券项目建设主体提供配套融资支持,做好信贷资金和专项债资金的有效衔接。加快谋划一批新型基础设施、新能源项目,扩大储备项目规模,积极争取国家支持。</w:t>
      </w:r>
      <w:r>
        <w:rPr>
          <w:rFonts w:hint="default" w:ascii="楷体_gb2312" w:hAnsi="楷体_gb2312" w:eastAsia="楷体_gb2312" w:cs="楷体_gb2312"/>
          <w:i w:val="0"/>
          <w:caps w:val="0"/>
          <w:color w:val="auto"/>
          <w:spacing w:val="0"/>
          <w:sz w:val="32"/>
          <w:szCs w:val="32"/>
          <w:shd w:val="clear" w:color="auto" w:fill="FFFFFF"/>
          <w:vertAlign w:val="baseline"/>
        </w:rPr>
        <w:t>(省财政厅、省发展改革委、人行石家庄中心支行、河北银保监局负责)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6.落实政府性融资担保等政策。</w:t>
      </w:r>
      <w:r>
        <w:rPr>
          <w:rFonts w:hint="default" w:ascii="仿宋_gb2312" w:hAnsi="仿宋_gb2312" w:eastAsia="仿宋_gb2312" w:cs="仿宋_gb2312"/>
          <w:i w:val="0"/>
          <w:caps w:val="0"/>
          <w:color w:val="auto"/>
          <w:spacing w:val="0"/>
          <w:sz w:val="32"/>
          <w:szCs w:val="32"/>
          <w:shd w:val="clear" w:color="auto" w:fill="FFFFFF"/>
          <w:vertAlign w:val="baseline"/>
        </w:rPr>
        <w:t>各级政府性融资担保机构要对符合条件的交通运输、零售、餐饮、住宿、旅游行业中小微企业、个体工商户提供融资担保支持,及时履行代偿义务,推动金融机构尽快放贷,不盲目抽贷、压贷、断贷。2022年,将上述符合条件的融资担保业务,纳入河北省融资担保基金再担保合作范围。河北省融资担保基金2022年对小微企业、“三农”和科技型中小企业再担保金额占比由不低于80%提高至不低于90%。推动有条件的地方对支小支农担保业务保费给予阶段性补贴。</w:t>
      </w:r>
      <w:r>
        <w:rPr>
          <w:rFonts w:hint="default" w:ascii="楷体_gb2312" w:hAnsi="楷体_gb2312" w:eastAsia="楷体_gb2312" w:cs="楷体_gb2312"/>
          <w:i w:val="0"/>
          <w:caps w:val="0"/>
          <w:color w:val="auto"/>
          <w:spacing w:val="0"/>
          <w:sz w:val="32"/>
          <w:szCs w:val="32"/>
          <w:shd w:val="clear" w:color="auto" w:fill="FFFFFF"/>
          <w:vertAlign w:val="baseline"/>
        </w:rPr>
        <w:t>(省财政厅、河北银保监局、省地方金融监管局负责)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7.加大政府采购支持中小企业力度。</w:t>
      </w:r>
      <w:r>
        <w:rPr>
          <w:rFonts w:hint="default" w:ascii="仿宋_gb2312" w:hAnsi="仿宋_gb2312" w:eastAsia="仿宋_gb2312" w:cs="仿宋_gb2312"/>
          <w:i w:val="0"/>
          <w:caps w:val="0"/>
          <w:color w:val="auto"/>
          <w:spacing w:val="0"/>
          <w:sz w:val="32"/>
          <w:szCs w:val="32"/>
          <w:shd w:val="clear" w:color="auto" w:fill="FFFFFF"/>
          <w:vertAlign w:val="baseline"/>
        </w:rPr>
        <w:t>提高政府采购工程面向中小企业预留份额,政府采购限额标准以上、400万元以下的政府采购工程项目适宜由中小企业提供的,采购人应当专门面向中小企业采购;超过400万元且适宜由中小企业提供的,在坚持公开、公平、公正竞争的前提下,按照统一质量标准,将预留面向中小企业采购的份额由30%以上2022年阶段性提高至40%以上,非预留项目要给予小微企业评审优惠,增加中小企业合同规模。给予小微企业的价格扣除优惠,货物和服务项目由6%—10%提高至10%—20%。</w:t>
      </w:r>
      <w:r>
        <w:rPr>
          <w:rFonts w:hint="default" w:ascii="楷体_gb2312" w:hAnsi="楷体_gb2312" w:eastAsia="楷体_gb2312" w:cs="楷体_gb2312"/>
          <w:i w:val="0"/>
          <w:caps w:val="0"/>
          <w:color w:val="auto"/>
          <w:spacing w:val="0"/>
          <w:sz w:val="32"/>
          <w:szCs w:val="32"/>
          <w:shd w:val="clear" w:color="auto" w:fill="FFFFFF"/>
          <w:vertAlign w:val="baseline"/>
        </w:rPr>
        <w:t>(省财政厅负责)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8.降低失业保险费率。</w:t>
      </w:r>
      <w:r>
        <w:rPr>
          <w:rFonts w:hint="default" w:ascii="仿宋_gb2312" w:hAnsi="仿宋_gb2312" w:eastAsia="仿宋_gb2312" w:cs="仿宋_gb2312"/>
          <w:i w:val="0"/>
          <w:caps w:val="0"/>
          <w:color w:val="auto"/>
          <w:spacing w:val="0"/>
          <w:sz w:val="32"/>
          <w:szCs w:val="32"/>
          <w:shd w:val="clear" w:color="auto" w:fill="FFFFFF"/>
          <w:vertAlign w:val="baseline"/>
        </w:rPr>
        <w:t>延续实施阶段性降低失业保险费率为1%政策至2023年4月30日。</w:t>
      </w:r>
      <w:r>
        <w:rPr>
          <w:rFonts w:hint="default" w:ascii="楷体_gb2312" w:hAnsi="楷体_gb2312" w:eastAsia="楷体_gb2312" w:cs="楷体_gb2312"/>
          <w:i w:val="0"/>
          <w:caps w:val="0"/>
          <w:color w:val="auto"/>
          <w:spacing w:val="0"/>
          <w:sz w:val="32"/>
          <w:szCs w:val="32"/>
          <w:shd w:val="clear" w:color="auto" w:fill="FFFFFF"/>
          <w:vertAlign w:val="baseline"/>
        </w:rPr>
        <w:t>(省人力资源社会保障厅、省财政厅负责)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9.实施阶段性缓缴社会保险费。</w:t>
      </w:r>
      <w:r>
        <w:rPr>
          <w:rFonts w:hint="default" w:ascii="仿宋_gb2312" w:hAnsi="仿宋_gb2312" w:eastAsia="仿宋_gb2312" w:cs="仿宋_gb2312"/>
          <w:i w:val="0"/>
          <w:caps w:val="0"/>
          <w:color w:val="auto"/>
          <w:spacing w:val="0"/>
          <w:sz w:val="32"/>
          <w:szCs w:val="32"/>
          <w:shd w:val="clear" w:color="auto" w:fill="FFFFFF"/>
          <w:vertAlign w:val="baseline"/>
        </w:rPr>
        <w:t>在确保各项社会保险待遇按时足额支付的前提下,对符合条件地区受疫情影响生产经营出现暂时困难的所有中小微企业、以单位方式参保的个体工商户,阶段性缓缴3项社会保险单位缴费部分,缓缴期限阶段性实施到2022年底。在对5个特困行业实施阶段性缓缴3项社保费政策的基础上,对受到疫情严重冲击、行业内大面积出现企业生产经营困难、符合国家产业政策导向的其他特困行业,扩大实施缓缴政策,养老保险费缓缴期限阶段性延长到2022年底。</w:t>
      </w:r>
      <w:r>
        <w:rPr>
          <w:rFonts w:hint="default" w:ascii="楷体_gb2312" w:hAnsi="楷体_gb2312" w:eastAsia="楷体_gb2312" w:cs="楷体_gb2312"/>
          <w:i w:val="0"/>
          <w:caps w:val="0"/>
          <w:color w:val="auto"/>
          <w:spacing w:val="0"/>
          <w:sz w:val="32"/>
          <w:szCs w:val="32"/>
          <w:shd w:val="clear" w:color="auto" w:fill="FFFFFF"/>
          <w:vertAlign w:val="baseline"/>
        </w:rPr>
        <w:t>(省人力资源社会保障厅、省财政厅、省税务局负责)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10.加大稳岗支持力度。</w:t>
      </w:r>
      <w:r>
        <w:rPr>
          <w:rFonts w:hint="default" w:ascii="仿宋_gb2312" w:hAnsi="仿宋_gb2312" w:eastAsia="仿宋_gb2312" w:cs="仿宋_gb2312"/>
          <w:i w:val="0"/>
          <w:caps w:val="0"/>
          <w:color w:val="auto"/>
          <w:spacing w:val="0"/>
          <w:sz w:val="32"/>
          <w:szCs w:val="32"/>
          <w:shd w:val="clear" w:color="auto" w:fill="FFFFFF"/>
          <w:vertAlign w:val="baseline"/>
        </w:rPr>
        <w:t>对上年度未裁员或裁员率不高于全国城镇调查失业率控制目标,30人(含)以下裁员率不高于20%的参保企业,给予失业保险稳岗返还,大型企业返还比例从30%提高至50%,中小微企业返还比例从60%提高至90%。支持自主创业,在个人创业担保贷款最高20万元、小微企业担保贷款最高300万元基础上,各地可适当放宽创业担保贷款借款人条件、提高贷款额度上限,由此额外产生的贴息资金支出由地方财政负担。</w:t>
      </w:r>
      <w:r>
        <w:rPr>
          <w:rFonts w:hint="default" w:ascii="楷体_gb2312" w:hAnsi="楷体_gb2312" w:eastAsia="楷体_gb2312" w:cs="楷体_gb2312"/>
          <w:i w:val="0"/>
          <w:caps w:val="0"/>
          <w:color w:val="auto"/>
          <w:spacing w:val="0"/>
          <w:sz w:val="32"/>
          <w:szCs w:val="32"/>
          <w:shd w:val="clear" w:color="auto" w:fill="FFFFFF"/>
          <w:vertAlign w:val="baseline"/>
        </w:rPr>
        <w:t>(省人力资源社会保障厅、省财政厅负责)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二、提高金融服务实体经济能力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11.鼓励对中小微企业和个体工商户、货车司机贷款及受疫情影响的个人住房与消费贷款等实施延期还本付息。</w:t>
      </w:r>
      <w:r>
        <w:rPr>
          <w:rFonts w:hint="default" w:ascii="仿宋_gb2312" w:hAnsi="仿宋_gb2312" w:eastAsia="仿宋_gb2312" w:cs="仿宋_gb2312"/>
          <w:i w:val="0"/>
          <w:caps w:val="0"/>
          <w:color w:val="auto"/>
          <w:spacing w:val="0"/>
          <w:sz w:val="32"/>
          <w:szCs w:val="32"/>
          <w:shd w:val="clear" w:color="auto" w:fill="FFFFFF"/>
          <w:vertAlign w:val="baseline"/>
        </w:rPr>
        <w:t>鼓励商业银行等金融机构按市场化原则与中小微企业(含中小微企业主)和个体工商户、货车司机等自主协商,对其贷款实施延期还本付息,努力做到应延尽延,本轮延期还本付息日期原则上不超过2022年底。对因感染新冠肺炎住院治疗或隔离、受疫情影响隔离观察或失去收入来源的人群,鼓励金融机构对其存续的个人住房、消费等贷款,灵活采取合理延后还款时间、延长贷款期限、延期还本等方式调整还款计划。对延期贷款坚持实质性风险判断,不单独因疫情因素下调贷款风险分类,不影响征信记录,并免收罚息。</w:t>
      </w:r>
      <w:r>
        <w:rPr>
          <w:rFonts w:hint="default" w:ascii="楷体_gb2312" w:hAnsi="楷体_gb2312" w:eastAsia="楷体_gb2312" w:cs="楷体_gb2312"/>
          <w:i w:val="0"/>
          <w:caps w:val="0"/>
          <w:color w:val="auto"/>
          <w:spacing w:val="0"/>
          <w:sz w:val="32"/>
          <w:szCs w:val="32"/>
          <w:shd w:val="clear" w:color="auto" w:fill="FFFFFF"/>
          <w:vertAlign w:val="baseline"/>
        </w:rPr>
        <w:t>(人行石家庄中心支行、河北银保监局负责)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12.加大普惠小微贷款支持力度。</w:t>
      </w:r>
      <w:r>
        <w:rPr>
          <w:rFonts w:hint="default" w:ascii="仿宋_gb2312" w:hAnsi="仿宋_gb2312" w:eastAsia="仿宋_gb2312" w:cs="仿宋_gb2312"/>
          <w:i w:val="0"/>
          <w:caps w:val="0"/>
          <w:color w:val="auto"/>
          <w:spacing w:val="0"/>
          <w:sz w:val="32"/>
          <w:szCs w:val="32"/>
          <w:shd w:val="clear" w:color="auto" w:fill="FFFFFF"/>
          <w:vertAlign w:val="baseline"/>
        </w:rPr>
        <w:t>发挥好支持普惠小微的市场化工具引导作用,对地方法人银行普惠小微贷款余额增量的2%提供激励资金,引导金融机构加大对困难行业的倾斜力度。加大对疫情影响较大的批发零售、住宿餐饮、物流运输、文化旅游等产业贷款投放。鼓励金融机构对符合续贷条件的市场主体按正常续贷业务办理,保持合理流动性。</w:t>
      </w:r>
      <w:r>
        <w:rPr>
          <w:rFonts w:hint="default" w:ascii="楷体_gb2312" w:hAnsi="楷体_gb2312" w:eastAsia="楷体_gb2312" w:cs="楷体_gb2312"/>
          <w:i w:val="0"/>
          <w:caps w:val="0"/>
          <w:color w:val="auto"/>
          <w:spacing w:val="0"/>
          <w:sz w:val="32"/>
          <w:szCs w:val="32"/>
          <w:shd w:val="clear" w:color="auto" w:fill="FFFFFF"/>
          <w:vertAlign w:val="baseline"/>
        </w:rPr>
        <w:t>(人行石家庄中心支行、河北银保监局负责)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13.继续推动金融机构减费让利。</w:t>
      </w:r>
      <w:r>
        <w:rPr>
          <w:rFonts w:hint="default" w:ascii="仿宋_gb2312" w:hAnsi="仿宋_gb2312" w:eastAsia="仿宋_gb2312" w:cs="仿宋_gb2312"/>
          <w:i w:val="0"/>
          <w:caps w:val="0"/>
          <w:color w:val="auto"/>
          <w:spacing w:val="0"/>
          <w:sz w:val="32"/>
          <w:szCs w:val="32"/>
          <w:shd w:val="clear" w:color="auto" w:fill="FFFFFF"/>
          <w:vertAlign w:val="baseline"/>
        </w:rPr>
        <w:t>推动实际贷款利率在前期大幅降低基础上继续下行,督促指导降低银行账户服务收费、人民币转账汇款手续费、银行卡刷卡手续费,减轻小微企业和个体工商户经营成本压力。</w:t>
      </w:r>
      <w:r>
        <w:rPr>
          <w:rFonts w:hint="default" w:ascii="楷体_gb2312" w:hAnsi="楷体_gb2312" w:eastAsia="楷体_gb2312" w:cs="楷体_gb2312"/>
          <w:i w:val="0"/>
          <w:caps w:val="0"/>
          <w:color w:val="auto"/>
          <w:spacing w:val="0"/>
          <w:sz w:val="32"/>
          <w:szCs w:val="32"/>
          <w:shd w:val="clear" w:color="auto" w:fill="FFFFFF"/>
          <w:vertAlign w:val="baseline"/>
        </w:rPr>
        <w:t>(人行石家庄中心支行、河北银保监局负责)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14.提高资本市场融资效率。</w:t>
      </w:r>
      <w:r>
        <w:rPr>
          <w:rFonts w:hint="default" w:ascii="仿宋_gb2312" w:hAnsi="仿宋_gb2312" w:eastAsia="仿宋_gb2312" w:cs="仿宋_gb2312"/>
          <w:i w:val="0"/>
          <w:caps w:val="0"/>
          <w:color w:val="auto"/>
          <w:spacing w:val="0"/>
          <w:sz w:val="32"/>
          <w:szCs w:val="32"/>
          <w:shd w:val="clear" w:color="auto" w:fill="FFFFFF"/>
          <w:vertAlign w:val="baseline"/>
        </w:rPr>
        <w:t>加大企业上市培育力度,对已启动上市工作的企业,根据股改、辅导、审核、注册等4个关键阶段给予重点支持。优化上市前的激励政策,对在进入辅导期并在河北证监局完成备案的企业以及向中国证监会(或各交易所)提交上市申请材料并取得受理函的企业,给予上市服务费用补助。支持和鼓励金融机构发行金融债券,建立“三农”、小微企业、绿色、双创金融债券绿色通道,为重点领域企业提供融资支持。</w:t>
      </w:r>
      <w:r>
        <w:rPr>
          <w:rFonts w:hint="default" w:ascii="楷体_gb2312" w:hAnsi="楷体_gb2312" w:eastAsia="楷体_gb2312" w:cs="楷体_gb2312"/>
          <w:i w:val="0"/>
          <w:caps w:val="0"/>
          <w:color w:val="auto"/>
          <w:spacing w:val="0"/>
          <w:sz w:val="32"/>
          <w:szCs w:val="32"/>
          <w:shd w:val="clear" w:color="auto" w:fill="FFFFFF"/>
          <w:vertAlign w:val="baseline"/>
        </w:rPr>
        <w:t>(省地方金融监管局、河北证监局、人行石家庄中心支行负责)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15.鼓励金融机构加大对基础设施建设的支持力度。</w:t>
      </w:r>
      <w:r>
        <w:rPr>
          <w:rFonts w:hint="default" w:ascii="仿宋_gb2312" w:hAnsi="仿宋_gb2312" w:eastAsia="仿宋_gb2312" w:cs="仿宋_gb2312"/>
          <w:i w:val="0"/>
          <w:caps w:val="0"/>
          <w:color w:val="auto"/>
          <w:spacing w:val="0"/>
          <w:sz w:val="32"/>
          <w:szCs w:val="32"/>
          <w:shd w:val="clear" w:color="auto" w:fill="FFFFFF"/>
          <w:vertAlign w:val="baseline"/>
        </w:rPr>
        <w:t>支持开发性银行设立加强基础设施建设融资专项,对纳入融资专项支持的项目在贷款规模上给予专项保障,并给予政策允许范围内最优融资利率支持。引导商业银行进一步增加贷款投放、延长贷款期限。鼓励保险公司发挥中长期资金优势,加大对水利、水运、公路、市政、物流等基础设施建设和重大项目的支持力度。支持金融机构加强与基础设施建设项目业主的常态化对接,帮助符合条件的企业发行债券、资产支持证券、公募基础设施REITs,参与基础设施项目建设和运营管理,力争2022年全省基础设施REITs实现零的突破。</w:t>
      </w:r>
      <w:r>
        <w:rPr>
          <w:rFonts w:hint="default" w:ascii="楷体_gb2312" w:hAnsi="楷体_gb2312" w:eastAsia="楷体_gb2312" w:cs="楷体_gb2312"/>
          <w:i w:val="0"/>
          <w:caps w:val="0"/>
          <w:color w:val="auto"/>
          <w:spacing w:val="0"/>
          <w:sz w:val="32"/>
          <w:szCs w:val="32"/>
          <w:shd w:val="clear" w:color="auto" w:fill="FFFFFF"/>
          <w:vertAlign w:val="baseline"/>
        </w:rPr>
        <w:t>(人行石家庄中心支行、河北银保监局、省发展改革委、河北证监局、省水利厅、省交通运输厅负责)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16.发挥政府性投资基金作用。</w:t>
      </w:r>
      <w:r>
        <w:rPr>
          <w:rFonts w:hint="default" w:ascii="仿宋_gb2312" w:hAnsi="仿宋_gb2312" w:eastAsia="仿宋_gb2312" w:cs="仿宋_gb2312"/>
          <w:i w:val="0"/>
          <w:caps w:val="0"/>
          <w:color w:val="auto"/>
          <w:spacing w:val="0"/>
          <w:sz w:val="32"/>
          <w:szCs w:val="32"/>
          <w:shd w:val="clear" w:color="auto" w:fill="FFFFFF"/>
          <w:vertAlign w:val="baseline"/>
        </w:rPr>
        <w:t>支持河北产业投资基金等7支省级政府投资引导基金扩大规模,加强与市县投资平台和民间投资机构的合作,撬动更多社会资本,支持重大产业项目建设。</w:t>
      </w:r>
      <w:r>
        <w:rPr>
          <w:rFonts w:hint="default" w:ascii="楷体_gb2312" w:hAnsi="楷体_gb2312" w:eastAsia="楷体_gb2312" w:cs="楷体_gb2312"/>
          <w:i w:val="0"/>
          <w:caps w:val="0"/>
          <w:color w:val="auto"/>
          <w:spacing w:val="0"/>
          <w:sz w:val="32"/>
          <w:szCs w:val="32"/>
          <w:shd w:val="clear" w:color="auto" w:fill="FFFFFF"/>
          <w:vertAlign w:val="baseline"/>
        </w:rPr>
        <w:t>(省财政厅、省发展改革委、省科技厅、省工业和信息化厅负责)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17.推动房地产贷款平稳增长。</w:t>
      </w:r>
      <w:r>
        <w:rPr>
          <w:rFonts w:hint="default" w:ascii="仿宋_gb2312" w:hAnsi="仿宋_gb2312" w:eastAsia="仿宋_gb2312" w:cs="仿宋_gb2312"/>
          <w:i w:val="0"/>
          <w:caps w:val="0"/>
          <w:color w:val="auto"/>
          <w:spacing w:val="0"/>
          <w:sz w:val="32"/>
          <w:szCs w:val="32"/>
          <w:shd w:val="clear" w:color="auto" w:fill="FFFFFF"/>
          <w:vertAlign w:val="baseline"/>
        </w:rPr>
        <w:t>合理确定商业性个人住房贷款最低首付比例,落实好首套商业性个人住房贷款利率下限参考同期限贷款市场报价利率减20个基点要求。合理满足房地产开发企业开发贷款需求。</w:t>
      </w:r>
      <w:r>
        <w:rPr>
          <w:rFonts w:hint="default" w:ascii="楷体_gb2312" w:hAnsi="楷体_gb2312" w:eastAsia="楷体_gb2312" w:cs="楷体_gb2312"/>
          <w:i w:val="0"/>
          <w:caps w:val="0"/>
          <w:color w:val="auto"/>
          <w:spacing w:val="0"/>
          <w:sz w:val="32"/>
          <w:szCs w:val="32"/>
          <w:shd w:val="clear" w:color="auto" w:fill="FFFFFF"/>
          <w:vertAlign w:val="baseline"/>
        </w:rPr>
        <w:t>(人行石家庄中心支行、河北银保监局负责)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三、发挥投资关键性作用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18.加快实施一批重大水利工程项目。</w:t>
      </w:r>
      <w:r>
        <w:rPr>
          <w:rFonts w:hint="default" w:ascii="仿宋_gb2312" w:hAnsi="仿宋_gb2312" w:eastAsia="仿宋_gb2312" w:cs="仿宋_gb2312"/>
          <w:i w:val="0"/>
          <w:caps w:val="0"/>
          <w:color w:val="auto"/>
          <w:spacing w:val="0"/>
          <w:sz w:val="32"/>
          <w:szCs w:val="32"/>
          <w:shd w:val="clear" w:color="auto" w:fill="FFFFFF"/>
          <w:vertAlign w:val="baseline"/>
        </w:rPr>
        <w:t>2022年再开工一批已纳入规划、条件成熟的项目,包括河道防洪、城镇和农村供水、河湖生态综合治理、南水北调防洪影响处理等工程。加快农村生活水源江水置换工程建设进度,确保2022年10月底前全部完成。对2022年实施改造的石津等7处大型灌区,年内投资完成率达到90%以上,庙宫等8处中型灌区,力争年内全部完成。加快现有6座病险水库除险加固建设进度,4座小型水库抓紧扫尾工作,确保汛前全部完工,2座中型水库力争2022年11月底前完工。</w:t>
      </w:r>
      <w:r>
        <w:rPr>
          <w:rFonts w:hint="default" w:ascii="楷体_gb2312" w:hAnsi="楷体_gb2312" w:eastAsia="楷体_gb2312" w:cs="楷体_gb2312"/>
          <w:i w:val="0"/>
          <w:caps w:val="0"/>
          <w:color w:val="auto"/>
          <w:spacing w:val="0"/>
          <w:sz w:val="32"/>
          <w:szCs w:val="32"/>
          <w:shd w:val="clear" w:color="auto" w:fill="FFFFFF"/>
          <w:vertAlign w:val="baseline"/>
        </w:rPr>
        <w:t>(省水利厅、省发展改革委、省生态环境厅、省自然资源厅负责)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19.加快交通基础设施项目建设。</w:t>
      </w:r>
      <w:r>
        <w:rPr>
          <w:rFonts w:hint="default" w:ascii="仿宋_gb2312" w:hAnsi="仿宋_gb2312" w:eastAsia="仿宋_gb2312" w:cs="仿宋_gb2312"/>
          <w:i w:val="0"/>
          <w:caps w:val="0"/>
          <w:color w:val="auto"/>
          <w:spacing w:val="0"/>
          <w:sz w:val="32"/>
          <w:szCs w:val="32"/>
          <w:shd w:val="clear" w:color="auto" w:fill="FFFFFF"/>
          <w:vertAlign w:val="baseline"/>
        </w:rPr>
        <w:t>优化区域综合立体交通网,加快建设京唐、石衡沧港、津兴等城际铁路,遵秦、张尚等高速公路,黄骅港液化天然气码头、唐山港丰南港区通用散杂货码头等项目,确保石太高速改扩建、唐山港曹妃甸港区煤码头6号泊位等项目2022年6月底前全部开工。争取石家庄城市轨道交通二期建设规划尽早获批,力争开工建设石家庄地铁4、5、6号线,加快石家庄复兴大街市政化改造等工程建设。启动新一轮农村公路建设和改造,在完成2022年目标任务的基础上,再新增完成农村公路新改建1200公里、实施农村公路安防工程1200公里、改造危桥120座。</w:t>
      </w:r>
      <w:r>
        <w:rPr>
          <w:rFonts w:hint="default" w:ascii="楷体_gb2312" w:hAnsi="楷体_gb2312" w:eastAsia="楷体_gb2312" w:cs="楷体_gb2312"/>
          <w:i w:val="0"/>
          <w:caps w:val="0"/>
          <w:color w:val="auto"/>
          <w:spacing w:val="0"/>
          <w:sz w:val="32"/>
          <w:szCs w:val="32"/>
          <w:shd w:val="clear" w:color="auto" w:fill="FFFFFF"/>
          <w:vertAlign w:val="baseline"/>
        </w:rPr>
        <w:t>(省交通运输厅、省发展改革委负责)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20.有重点地推进城市地下综合管廊建设。</w:t>
      </w:r>
      <w:r>
        <w:rPr>
          <w:rFonts w:hint="default" w:ascii="仿宋_gb2312" w:hAnsi="仿宋_gb2312" w:eastAsia="仿宋_gb2312" w:cs="仿宋_gb2312"/>
          <w:i w:val="0"/>
          <w:caps w:val="0"/>
          <w:color w:val="auto"/>
          <w:spacing w:val="0"/>
          <w:sz w:val="32"/>
          <w:szCs w:val="32"/>
          <w:shd w:val="clear" w:color="auto" w:fill="FFFFFF"/>
          <w:vertAlign w:val="baseline"/>
        </w:rPr>
        <w:t>加快综合管廊试点城市建设,在城市老旧管网改造等工作中协同推进管廊建设,在城市新区根据功能需求积极发展干、支线管廊,推动实施一批具备条件的地下综合管廊项目。及时跟进国家入廊收费政策制定情况,完善全省入廊管线有偿使用机制,明确收费标准、收费方式等事项,加快解决投融资受阻问题。</w:t>
      </w:r>
      <w:r>
        <w:rPr>
          <w:rFonts w:hint="default" w:ascii="楷体_gb2312" w:hAnsi="楷体_gb2312" w:eastAsia="楷体_gb2312" w:cs="楷体_gb2312"/>
          <w:i w:val="0"/>
          <w:caps w:val="0"/>
          <w:color w:val="auto"/>
          <w:spacing w:val="0"/>
          <w:sz w:val="32"/>
          <w:szCs w:val="32"/>
          <w:shd w:val="clear" w:color="auto" w:fill="FFFFFF"/>
          <w:vertAlign w:val="baseline"/>
        </w:rPr>
        <w:t>(省住房城乡建设厅、省发展改革委、省财政厅负责)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21.加强建筑工地管理服务。</w:t>
      </w:r>
      <w:r>
        <w:rPr>
          <w:rFonts w:hint="default" w:ascii="仿宋_gb2312" w:hAnsi="仿宋_gb2312" w:eastAsia="仿宋_gb2312" w:cs="仿宋_gb2312"/>
          <w:i w:val="0"/>
          <w:caps w:val="0"/>
          <w:color w:val="auto"/>
          <w:spacing w:val="0"/>
          <w:sz w:val="32"/>
          <w:szCs w:val="32"/>
          <w:shd w:val="clear" w:color="auto" w:fill="FFFFFF"/>
          <w:vertAlign w:val="baseline"/>
        </w:rPr>
        <w:t>对建筑工地除存在重大质量、安全、环境风险隐患拒不整改或发生质量、安全事故的项目外,一律不责令停止施工或停业整顿,切实保证项目正常施工。市县两级公安机关全部成立服务重大项目建设工作专班,实行“一项目一民警”联络机制,维护重大项目周边治安秩序。</w:t>
      </w:r>
      <w:r>
        <w:rPr>
          <w:rFonts w:hint="default" w:ascii="楷体_gb2312" w:hAnsi="楷体_gb2312" w:eastAsia="楷体_gb2312" w:cs="楷体_gb2312"/>
          <w:i w:val="0"/>
          <w:caps w:val="0"/>
          <w:color w:val="auto"/>
          <w:spacing w:val="0"/>
          <w:sz w:val="32"/>
          <w:szCs w:val="32"/>
          <w:shd w:val="clear" w:color="auto" w:fill="FFFFFF"/>
          <w:vertAlign w:val="baseline"/>
        </w:rPr>
        <w:t>(省住房城乡建设厅、省公安厅负责)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22.稳定和扩大民间投资。</w:t>
      </w:r>
      <w:r>
        <w:rPr>
          <w:rFonts w:hint="default" w:ascii="仿宋_gb2312" w:hAnsi="仿宋_gb2312" w:eastAsia="仿宋_gb2312" w:cs="仿宋_gb2312"/>
          <w:i w:val="0"/>
          <w:caps w:val="0"/>
          <w:color w:val="auto"/>
          <w:spacing w:val="0"/>
          <w:sz w:val="32"/>
          <w:szCs w:val="32"/>
          <w:shd w:val="clear" w:color="auto" w:fill="FFFFFF"/>
          <w:vertAlign w:val="baseline"/>
        </w:rPr>
        <w:t>实施常态化推介民间投资项目机制,依托河北省投资项目在线审批监管平台,每月推出一批对民间资本有吸引力的项目,鼓励和引导民间资本参与交通、能源、市政、生态环保、社会事业等重点领域补短板项目建设。有力有序推动省“十四五”规划的重大工程实施,创新政府和社会资本合作(PPP)投融资模式,鼓励和吸引社会资本参与国家和省重大工程项目。鼓励民营企业发挥自身优势参与关键基础产品和技术攻关突破。在供应链产业链招投标项目中对大中小企业联合体给予倾斜。</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(省发展改革委、省交通运输厅、省财政厅、省住房城乡建设厅、省科技厅、省工业和信息化厅负责)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四、促进消费加快恢复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23.稳定增加汽车、家电等大宗消费。</w:t>
      </w:r>
      <w:r>
        <w:rPr>
          <w:rFonts w:hint="default" w:ascii="仿宋_gb2312" w:hAnsi="仿宋_gb2312" w:eastAsia="仿宋_gb2312" w:cs="仿宋_gb2312"/>
          <w:i w:val="0"/>
          <w:caps w:val="0"/>
          <w:color w:val="auto"/>
          <w:spacing w:val="0"/>
          <w:sz w:val="32"/>
          <w:szCs w:val="32"/>
          <w:shd w:val="clear" w:color="auto" w:fill="FFFFFF"/>
          <w:vertAlign w:val="baseline"/>
        </w:rPr>
        <w:t>全面取消符合国五排放标准小型非营运二手车迁入限制,完善二手车市场主体登记注册、备案和车辆交易登记管理规定。在全省范围内解除针对皮卡车的通行限制。安排省级专项资金支持各市开展家用新车促销和汽车下乡、推广新能源汽车等汽车促消费活动。加强城镇停车设施和充电桩、换电站等配套设施建设,加快推进高速公路服务区、客运枢纽等区域充电桩(站)建设。支持各地开展家电以旧换新促消费活动。鼓励家电生产企业开展回收目标责任制行动,引导金融机构提升金融服务能力,更好满足消费升级需求。</w:t>
      </w:r>
      <w:r>
        <w:rPr>
          <w:rFonts w:hint="default" w:ascii="楷体_gb2312" w:hAnsi="楷体_gb2312" w:eastAsia="楷体_gb2312" w:cs="楷体_gb2312"/>
          <w:i w:val="0"/>
          <w:caps w:val="0"/>
          <w:color w:val="auto"/>
          <w:spacing w:val="0"/>
          <w:sz w:val="32"/>
          <w:szCs w:val="32"/>
          <w:shd w:val="clear" w:color="auto" w:fill="FFFFFF"/>
          <w:vertAlign w:val="baseline"/>
        </w:rPr>
        <w:t>(省商务厅、省交通运输厅、省公安厅、省财政厅、省住房城乡建设厅、省发展改革委、人行石家庄中心支行负责)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24.开展消费促进活动。</w:t>
      </w:r>
      <w:r>
        <w:rPr>
          <w:rFonts w:hint="default" w:ascii="仿宋_gb2312" w:hAnsi="仿宋_gb2312" w:eastAsia="仿宋_gb2312" w:cs="仿宋_gb2312"/>
          <w:i w:val="0"/>
          <w:caps w:val="0"/>
          <w:color w:val="auto"/>
          <w:spacing w:val="0"/>
          <w:sz w:val="32"/>
          <w:szCs w:val="32"/>
          <w:shd w:val="clear" w:color="auto" w:fill="FFFFFF"/>
          <w:vertAlign w:val="baseline"/>
        </w:rPr>
        <w:t>组织开展“幸福河北欢乐购”“购车节”“夜经济消费季”“中华美食荟”“中国农民丰收节”等线下促销活动,开展“618”和“双11”网购节、直播电商节、村播计划等线上促销活动。面向全省发放文化和旅游惠民卡(券)200万张以上。发行体育消费券,拉动全省体育消费。安排省级专项资金支持各市和雄安新区建设完善便利店、综合超市、菜市场、便民市场等社区商业配套设施。</w:t>
      </w:r>
      <w:r>
        <w:rPr>
          <w:rFonts w:hint="default" w:ascii="楷体_gb2312" w:hAnsi="楷体_gb2312" w:eastAsia="楷体_gb2312" w:cs="楷体_gb2312"/>
          <w:i w:val="0"/>
          <w:caps w:val="0"/>
          <w:color w:val="auto"/>
          <w:spacing w:val="0"/>
          <w:sz w:val="32"/>
          <w:szCs w:val="32"/>
          <w:shd w:val="clear" w:color="auto" w:fill="FFFFFF"/>
          <w:vertAlign w:val="baseline"/>
        </w:rPr>
        <w:t>(省商务厅、省财政厅、省文化和旅游厅、省体育局负责)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25.促进平台经济规范健康发展。</w:t>
      </w:r>
      <w:r>
        <w:rPr>
          <w:rFonts w:hint="default" w:ascii="仿宋_gb2312" w:hAnsi="仿宋_gb2312" w:eastAsia="仿宋_gb2312" w:cs="仿宋_gb2312"/>
          <w:i w:val="0"/>
          <w:caps w:val="0"/>
          <w:color w:val="auto"/>
          <w:spacing w:val="0"/>
          <w:sz w:val="32"/>
          <w:szCs w:val="32"/>
          <w:shd w:val="clear" w:color="auto" w:fill="FFFFFF"/>
          <w:vertAlign w:val="baseline"/>
        </w:rPr>
        <w:t>充分发挥平台经济稳就业作用,稳定平台企业及其共生中小微企业的发展预期,以平台企业发展带动中小微企业纾困。引导平台企业在疫情防控中做好防疫物资和重要民生商品保供“最后一公里”的线上线下联动。加快工业互联网平台体系建设,对入选工业和信息化部跨行业跨领域工业互联网平台、省级跨行业跨领域工业互联网平台和省级行业、区域工业互联网平台的,分别给予2000万元、500万元和300万元奖励。支持工业互联网平台应用,对于省级工业互联网创新发展试点项目,给予实际投资额20%、最高不超过500万元补助。</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(省发展改革委、省科技厅、省市场监管局、省商务厅、省工业和信息化厅负责)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五、切实保障粮食能源安全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26.健全完善粮食收益保障等政策。</w:t>
      </w:r>
      <w:r>
        <w:rPr>
          <w:rFonts w:hint="default" w:ascii="仿宋_gb2312" w:hAnsi="仿宋_gb2312" w:eastAsia="仿宋_gb2312" w:cs="仿宋_gb2312"/>
          <w:i w:val="0"/>
          <w:caps w:val="0"/>
          <w:color w:val="auto"/>
          <w:spacing w:val="0"/>
          <w:sz w:val="32"/>
          <w:szCs w:val="32"/>
          <w:shd w:val="clear" w:color="auto" w:fill="FFFFFF"/>
          <w:vertAlign w:val="baseline"/>
        </w:rPr>
        <w:t>优化种粮补贴政策,在前期已发放农资补贴的基础上,及时发放第二批农资补贴,弥补成本上涨带来的种粮收益下降,保障种粮农民合理收益。巩固现有扶持政策,统筹利用农业生产防灾减灾救灾、小麦优势特色产业集群、重点作物绿色高质高效行动、农业生产社会化服务等政策资金,一体化支持粮食生产。认真落实国家小麦最低收购价政策,出台2022年小麦最低收购价收购工作方案,根据市场形势及时启动收购,切实保护农民种粮积极性。</w:t>
      </w:r>
      <w:r>
        <w:rPr>
          <w:rFonts w:hint="default" w:ascii="楷体_gb2312" w:hAnsi="楷体_gb2312" w:eastAsia="楷体_gb2312" w:cs="楷体_gb2312"/>
          <w:i w:val="0"/>
          <w:caps w:val="0"/>
          <w:color w:val="auto"/>
          <w:spacing w:val="0"/>
          <w:sz w:val="32"/>
          <w:szCs w:val="32"/>
          <w:shd w:val="clear" w:color="auto" w:fill="FFFFFF"/>
          <w:vertAlign w:val="baseline"/>
        </w:rPr>
        <w:t>(省农业农村厅、省发展改革委、省财政厅负责)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27.有序释放煤炭优质产能。</w:t>
      </w:r>
      <w:r>
        <w:rPr>
          <w:rFonts w:hint="default" w:ascii="仿宋_gb2312" w:hAnsi="仿宋_gb2312" w:eastAsia="仿宋_gb2312" w:cs="仿宋_gb2312"/>
          <w:i w:val="0"/>
          <w:caps w:val="0"/>
          <w:color w:val="auto"/>
          <w:spacing w:val="0"/>
          <w:sz w:val="32"/>
          <w:szCs w:val="32"/>
          <w:shd w:val="clear" w:color="auto" w:fill="FFFFFF"/>
          <w:vertAlign w:val="baseline"/>
        </w:rPr>
        <w:t>推动煤炭稳产保供,压实煤炭稳产主体责任。加快煤矿建设施工进度,力争早日竣工投产。推进煤矿安全改造升级,实施煤矿智能化建设。用好国家煤矿产能核增调整政策,对符合增加产能条件的煤矿依规办理核增产能手续。依法依规加快办理煤矿采矿权延续手续,在确保安全生产和生态安全的前提下支持符合条件的井工煤矿项目释放产能。</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(省发展改革委、省自然资源厅、省应急管理厅、省国资委负责)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28.推动实施一批能源项目。</w:t>
      </w:r>
      <w:r>
        <w:rPr>
          <w:rFonts w:hint="default" w:ascii="仿宋_gb2312" w:hAnsi="仿宋_gb2312" w:eastAsia="仿宋_gb2312" w:cs="仿宋_gb2312"/>
          <w:i w:val="0"/>
          <w:caps w:val="0"/>
          <w:color w:val="auto"/>
          <w:spacing w:val="0"/>
          <w:sz w:val="32"/>
          <w:szCs w:val="32"/>
          <w:shd w:val="clear" w:color="auto" w:fill="FFFFFF"/>
          <w:vertAlign w:val="baseline"/>
        </w:rPr>
        <w:t>扎实推进保定热电九期、邯郸热电退城进郊、陡河电厂、华电香河燃机等火电项目建设,确保如期投产。统筹推进蒙西—京津冀、大同—怀来—天津北—天津南、张北—胜利(内蒙古)等跨省（区、市）特高压输电通道前期工作,确保廉州、冶陶(涉武)、白土窑、康保、坝上等5个500千伏新扩建输变电工程年内开工建设。加快蔚县、张北、丰宁3个国家级百万千瓦大型风电光伏基地建设,有序推进37个整县屋顶分布式光伏试点建设,全年全省新增新能源并网装机800万千瓦以上。推进蒙西管道、唐山LNG接收站及配套外输管线等主气源干线建设,加快推进秦丰沿海管线、冀中管网四期等省内集输干线建设,加强气源干线、LNG接收站、主干管网互联互通,年底前天然气管网分输能力达到1.4亿方/日以上。</w:t>
      </w:r>
      <w:r>
        <w:rPr>
          <w:rFonts w:hint="default" w:ascii="楷体_gb2312" w:hAnsi="楷体_gb2312" w:eastAsia="楷体_gb2312" w:cs="楷体_gb2312"/>
          <w:i w:val="0"/>
          <w:caps w:val="0"/>
          <w:color w:val="auto"/>
          <w:spacing w:val="0"/>
          <w:sz w:val="32"/>
          <w:szCs w:val="32"/>
          <w:shd w:val="clear" w:color="auto" w:fill="FFFFFF"/>
          <w:vertAlign w:val="baseline"/>
        </w:rPr>
        <w:t>(省发展改革委负责)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29.提高煤炭储备能力。</w:t>
      </w:r>
      <w:r>
        <w:rPr>
          <w:rFonts w:hint="default" w:ascii="仿宋_gb2312" w:hAnsi="仿宋_gb2312" w:eastAsia="仿宋_gb2312" w:cs="仿宋_gb2312"/>
          <w:i w:val="0"/>
          <w:caps w:val="0"/>
          <w:color w:val="auto"/>
          <w:spacing w:val="0"/>
          <w:sz w:val="32"/>
          <w:szCs w:val="32"/>
          <w:shd w:val="clear" w:color="auto" w:fill="FFFFFF"/>
          <w:vertAlign w:val="baseline"/>
        </w:rPr>
        <w:t>积极争取支持煤炭清洁高效利用专项再贷款和银行贷款,履行地方煤炭储备责任。</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(省发展改革委、省财政厅、人行石家庄中心支行负责)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30.加强原油和成品油储备能力建设</w:t>
      </w:r>
      <w:r>
        <w:rPr>
          <w:rFonts w:hint="default" w:ascii="仿宋_gb2312" w:hAnsi="仿宋_gb2312" w:eastAsia="仿宋_gb2312" w:cs="仿宋_gb2312"/>
          <w:i w:val="0"/>
          <w:caps w:val="0"/>
          <w:color w:val="auto"/>
          <w:spacing w:val="0"/>
          <w:sz w:val="32"/>
          <w:szCs w:val="32"/>
          <w:shd w:val="clear" w:color="auto" w:fill="FFFFFF"/>
          <w:vertAlign w:val="baseline"/>
        </w:rPr>
        <w:t>。加快石油储备能力建设,健全储备体系。</w:t>
      </w:r>
      <w:r>
        <w:rPr>
          <w:rFonts w:hint="default" w:ascii="楷体_gb2312" w:hAnsi="楷体_gb2312" w:eastAsia="楷体_gb2312" w:cs="楷体_gb2312"/>
          <w:i w:val="0"/>
          <w:caps w:val="0"/>
          <w:color w:val="auto"/>
          <w:spacing w:val="0"/>
          <w:sz w:val="32"/>
          <w:szCs w:val="32"/>
          <w:shd w:val="clear" w:color="auto" w:fill="FFFFFF"/>
          <w:vertAlign w:val="baseline"/>
        </w:rPr>
        <w:t>(省发展改革委负责)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六、保障产业链供应链稳定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31.降低市场主体生产经营成本。</w:t>
      </w:r>
      <w:r>
        <w:rPr>
          <w:rFonts w:hint="default" w:ascii="仿宋_gb2312" w:hAnsi="仿宋_gb2312" w:eastAsia="仿宋_gb2312" w:cs="仿宋_gb2312"/>
          <w:i w:val="0"/>
          <w:caps w:val="0"/>
          <w:color w:val="auto"/>
          <w:spacing w:val="0"/>
          <w:sz w:val="32"/>
          <w:szCs w:val="32"/>
          <w:shd w:val="clear" w:color="auto" w:fill="FFFFFF"/>
          <w:vertAlign w:val="baseline"/>
        </w:rPr>
        <w:t>全面落实对受疫情影响暂时出现生产经营困难的小微企业和个体工商户用水、用电、用气“欠费不停供”政策,设立6个月的费用缓缴期,并可根据各地实际情况进一步延长,缓缴期间免收欠费滞纳金。鼓励各市和雄安新区对中小微企业、个体工商户水电气等费用予以补贴。清理规范城镇供水供电供气供暖等行业收费,取消不合理收费,规范政府定价和经营者价格收费行为,对保留的收费项目实行清单制管理。进一步明确转供电环节价格政策,清理转供电环节不合理加价。2022年中小微企业宽带和专线平均资费再降10%。</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(省发展改革委、省通信管理局、省财政厅、省住房城乡建设厅、省国资委、省市场监管局负责)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32.阶段性免除市场主体房屋租金。</w:t>
      </w:r>
      <w:r>
        <w:rPr>
          <w:rFonts w:hint="default" w:ascii="仿宋_gb2312" w:hAnsi="仿宋_gb2312" w:eastAsia="仿宋_gb2312" w:cs="仿宋_gb2312"/>
          <w:i w:val="0"/>
          <w:caps w:val="0"/>
          <w:color w:val="auto"/>
          <w:spacing w:val="0"/>
          <w:sz w:val="32"/>
          <w:szCs w:val="32"/>
          <w:shd w:val="clear" w:color="auto" w:fill="FFFFFF"/>
          <w:vertAlign w:val="baseline"/>
        </w:rPr>
        <w:t>对承租省国资委监管企事业单位房屋以及公租房小区商业、综合服务设施国有用房的服务业小微企业和个体工商户,2022年普遍减免3个月租金,力争在上半年完成减免主体工作。对2022年租期分属不同承租人的,根据不同承租人实际租期按比例减免。对2022年被列为疫情中高风险地区所在县级行政区域内承租上述房屋的,再补充减免3个月租金,补充减免工作应在所在县级行政区域出现疫情中高风险地区后2个月内完成。对于转租、分租上述房屋的,持续加大工作力度,确保减租政策有效传导至实际承租人;对于所属股权多元化子企业,应积极沟通协调,争取中小股东理解支持,在规范履行内部决策程序后,尽快减免租金。鼓励各地统筹各类资金,对承租非国有房屋的服务业中小微企业和个体工商户给予适当帮扶,鼓励非国有房屋租赁主体在平等协商的基础上合理分担疫情带来的损失。2022年对服务业小微企业和个体工商户主动减免房屋租金的出租人,缴纳房产税、城镇土地使用税确有困难的,可按照有关规定申请减免房产税、城镇土地使用税。</w:t>
      </w:r>
      <w:r>
        <w:rPr>
          <w:rFonts w:hint="default" w:ascii="楷体_gb2312" w:hAnsi="楷体_gb2312" w:eastAsia="楷体_gb2312" w:cs="楷体_gb2312"/>
          <w:i w:val="0"/>
          <w:caps w:val="0"/>
          <w:color w:val="auto"/>
          <w:spacing w:val="0"/>
          <w:sz w:val="32"/>
          <w:szCs w:val="32"/>
          <w:shd w:val="clear" w:color="auto" w:fill="FFFFFF"/>
          <w:vertAlign w:val="baseline"/>
        </w:rPr>
        <w:t>(省国资委、省住房城乡建设厅、省财政厅、省税务局负责)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33.加大对受疫情影响较大的行业企业的纾困支持力度。</w:t>
      </w:r>
      <w:r>
        <w:rPr>
          <w:rFonts w:hint="default" w:ascii="仿宋_gb2312" w:hAnsi="仿宋_gb2312" w:eastAsia="仿宋_gb2312" w:cs="仿宋_gb2312"/>
          <w:i w:val="0"/>
          <w:caps w:val="0"/>
          <w:color w:val="auto"/>
          <w:spacing w:val="0"/>
          <w:sz w:val="32"/>
          <w:szCs w:val="32"/>
          <w:shd w:val="clear" w:color="auto" w:fill="FFFFFF"/>
          <w:vertAlign w:val="baseline"/>
        </w:rPr>
        <w:t>引导外卖等互联网平台企业进一步下调餐饮业商户服务费标准,降低相关餐饮企业经营成本。2022年继续实施旅行社暂退旅游服务质量保证金扶持政策,对符合条件的旅行社维持80%的暂退比例,鼓励有条件的地市进一步提高暂退比例。落实2022年航空和铁路运输企业分支机构暂停预缴增值税,免征轮客渡、公交客运、地铁、出租车、道路客运等公共交通运输服务增值税政策。落实中央新能源汽车推广应用要求,开展补助资金清算工作。支持民航基础设施建设。</w:t>
      </w:r>
      <w:r>
        <w:rPr>
          <w:rFonts w:hint="default" w:ascii="楷体_gb2312" w:hAnsi="楷体_gb2312" w:eastAsia="楷体_gb2312" w:cs="楷体_gb2312"/>
          <w:i w:val="0"/>
          <w:caps w:val="0"/>
          <w:color w:val="auto"/>
          <w:spacing w:val="0"/>
          <w:sz w:val="32"/>
          <w:szCs w:val="32"/>
          <w:shd w:val="clear" w:color="auto" w:fill="FFFFFF"/>
          <w:vertAlign w:val="baseline"/>
        </w:rPr>
        <w:t>(省商务厅、省交通运输厅、省财政厅、省税务局、省工业和信息化厅、省发展改革委负责)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34.促进企业更快复工达产。</w:t>
      </w:r>
      <w:r>
        <w:rPr>
          <w:rFonts w:hint="default" w:ascii="仿宋_gb2312" w:hAnsi="仿宋_gb2312" w:eastAsia="仿宋_gb2312" w:cs="仿宋_gb2312"/>
          <w:i w:val="0"/>
          <w:caps w:val="0"/>
          <w:color w:val="auto"/>
          <w:spacing w:val="0"/>
          <w:sz w:val="32"/>
          <w:szCs w:val="32"/>
          <w:shd w:val="clear" w:color="auto" w:fill="FFFFFF"/>
          <w:vertAlign w:val="baseline"/>
        </w:rPr>
        <w:t>落实属地责任,发生疫情实行封控措施前,提前通知并指导辖区内企业做好疫情防控、人员安置、物料运输等生产要素储备,进行闭环生产,最大限度保障企业不停工不停产。建立重点产业链供应链“白名单”企业部省联动、区域互认和部门协同机制,保障要素供给和稳定生产。将符合条件的钢铁企业及其他行业支柱企业、产业链供应链“白名单”企业、“专精特新”中小企业、制造业单项冠军企业、省级重点县域特色产业集群头部企业、高新技术企业、省级及以上绿色工厂纳入环保正面清单,保障其在环保达标条件下不停产不限产。鼓励各市和雄安新区因地制宜为“白名单”企业提供特色政策服务。建立企业诉求快速回应和解决问题的服务机制,及时解答和处理企业复工达产中的具体问题。</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(省发展改革委、省工业和信息化厅、省交通运输厅、省商务厅、省生态环境厅负责)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35.完善交通物流保通保畅政策。</w:t>
      </w:r>
      <w:r>
        <w:rPr>
          <w:rFonts w:hint="default" w:ascii="仿宋_gb2312" w:hAnsi="仿宋_gb2312" w:eastAsia="仿宋_gb2312" w:cs="仿宋_gb2312"/>
          <w:i w:val="0"/>
          <w:caps w:val="0"/>
          <w:color w:val="auto"/>
          <w:spacing w:val="0"/>
          <w:sz w:val="32"/>
          <w:szCs w:val="32"/>
          <w:shd w:val="clear" w:color="auto" w:fill="FFFFFF"/>
          <w:vertAlign w:val="baseline"/>
        </w:rPr>
        <w:t>严格落实查验不劝返、检测不等待、核酸不重检、政策不加码等通行管控措施,坚决防止高速公路服务区、收费站和港口码头等擅自关停问题回潮,对邮件、快递分拨中心、营业点应开尽开。严格落实货车通行政策,对来自或进出疫情中高风险地区所在地市的货运车辆落实“即采即走即追”制度。深入开展关心关爱货车司机行动,推行轻微免罚、首违不罚。客货运司机、快递员、船员到异地免费检测点进行核酸检测和抗原检测的,当地政府视同本地居民纳入检测范围、享受同等政策,所需费用由地方财政予以保障。各市和雄安新区要及时了解跨区作业农机信息,确保农机装备跨区转运便捷通行,坚决防止擅自设卡拦截、随意阻路断村等行为,全力保障夏收、夏种、夏管。</w:t>
      </w:r>
      <w:r>
        <w:rPr>
          <w:rFonts w:hint="default" w:ascii="楷体_gb2312" w:hAnsi="楷体_gb2312" w:eastAsia="楷体_gb2312" w:cs="楷体_gb2312"/>
          <w:i w:val="0"/>
          <w:caps w:val="0"/>
          <w:color w:val="auto"/>
          <w:spacing w:val="0"/>
          <w:sz w:val="32"/>
          <w:szCs w:val="32"/>
          <w:shd w:val="clear" w:color="auto" w:fill="FFFFFF"/>
          <w:vertAlign w:val="baseline"/>
        </w:rPr>
        <w:t>(省交通运输厅、省邮政管理局、省卫生健康委、省农业农村厅、省财政厅负责)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36.完善环境保护支持措施。</w:t>
      </w:r>
      <w:r>
        <w:rPr>
          <w:rFonts w:hint="default" w:ascii="仿宋_gb2312" w:hAnsi="仿宋_gb2312" w:eastAsia="仿宋_gb2312" w:cs="仿宋_gb2312"/>
          <w:i w:val="0"/>
          <w:caps w:val="0"/>
          <w:color w:val="auto"/>
          <w:spacing w:val="0"/>
          <w:sz w:val="32"/>
          <w:szCs w:val="32"/>
          <w:shd w:val="clear" w:color="auto" w:fill="FFFFFF"/>
          <w:vertAlign w:val="baseline"/>
        </w:rPr>
        <w:t>实施激励性生态环境绩效分级制度,对单位污染物排放量税收贡献或研发投入占营业收入比重高于行业平均水平的企业,在生态环境绩效晋级评价过程中,如部分环保指标暂未达到晋级标准,可先按高一级别实施绩效管理,半年内环保指标达标后正式晋级。实施“零罚款”生态环境执法,2022年二、三季度,生态环境执法采取告知、提醒、帮扶方式,除恶意违法情况外,对生态环境违法行为一律不得采取罚款方式进行处理,做到轻微不罚、首次不罚、非故意不罚。实施“三个禁用”管控措施,2022年二、三季度,除恶意违法和存在重大环境风险隐患情况外,各地污染管控措施禁用限产、停产、停工手段,在保证企业正常生产经营和项目正常施工前提下开展问题整改。开展“环评服务百日攻坚”,保障各类建设项目落地实施。</w:t>
      </w:r>
      <w:r>
        <w:rPr>
          <w:rFonts w:hint="default" w:ascii="楷体_gb2312" w:hAnsi="楷体_gb2312" w:eastAsia="楷体_gb2312" w:cs="楷体_gb2312"/>
          <w:i w:val="0"/>
          <w:caps w:val="0"/>
          <w:color w:val="auto"/>
          <w:spacing w:val="0"/>
          <w:sz w:val="32"/>
          <w:szCs w:val="32"/>
          <w:shd w:val="clear" w:color="auto" w:fill="FFFFFF"/>
          <w:vertAlign w:val="baseline"/>
        </w:rPr>
        <w:t>(省生态环境厅负责)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37.加大对物流业的支持力度。</w:t>
      </w:r>
      <w:r>
        <w:rPr>
          <w:rFonts w:hint="default" w:ascii="仿宋_gb2312" w:hAnsi="仿宋_gb2312" w:eastAsia="仿宋_gb2312" w:cs="仿宋_gb2312"/>
          <w:i w:val="0"/>
          <w:caps w:val="0"/>
          <w:color w:val="auto"/>
          <w:spacing w:val="0"/>
          <w:sz w:val="32"/>
          <w:szCs w:val="32"/>
          <w:shd w:val="clear" w:color="auto" w:fill="FFFFFF"/>
          <w:vertAlign w:val="baseline"/>
        </w:rPr>
        <w:t>加快推动多式联运融合发展,降低综合货运成本。在农产品主产区和特色农产品优势区支持建设一批田头小型冷藏保鲜设施,推动建设一批产销冷链集配中心。加大村级寄递物流综合服务站建设密度,每个市至少新增2个县级寄递物流公共配送中心。</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(省发展改革委、省商务厅、省交通运输厅、省农业农村厅、省邮政管理局负责)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七、着力稳外贸稳外资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38.支持外贸企业发展。</w:t>
      </w:r>
      <w:r>
        <w:rPr>
          <w:rFonts w:hint="default" w:ascii="仿宋_gb2312" w:hAnsi="仿宋_gb2312" w:eastAsia="仿宋_gb2312" w:cs="仿宋_gb2312"/>
          <w:i w:val="0"/>
          <w:caps w:val="0"/>
          <w:color w:val="auto"/>
          <w:spacing w:val="0"/>
          <w:sz w:val="32"/>
          <w:szCs w:val="32"/>
          <w:shd w:val="clear" w:color="auto" w:fill="FFFFFF"/>
          <w:vertAlign w:val="baseline"/>
        </w:rPr>
        <w:t>分别对进出口总量、增量和增幅排名前3位的设区市给予奖励,调动地方稳外贸工作积极性和创造性。鼓励企业提升产品质量和竞争力,稳定和扩大进出口规模。支持企业线上线下拓展市场,组织企业参加广交会、深圳高交会等重点国内展会。</w:t>
      </w:r>
      <w:r>
        <w:rPr>
          <w:rFonts w:hint="default" w:ascii="楷体_gb2312" w:hAnsi="楷体_gb2312" w:eastAsia="楷体_gb2312" w:cs="楷体_gb2312"/>
          <w:i w:val="0"/>
          <w:caps w:val="0"/>
          <w:color w:val="auto"/>
          <w:spacing w:val="0"/>
          <w:sz w:val="32"/>
          <w:szCs w:val="32"/>
          <w:shd w:val="clear" w:color="auto" w:fill="FFFFFF"/>
          <w:vertAlign w:val="baseline"/>
        </w:rPr>
        <w:t>(省商务厅负责)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39.积极吸引外商投资。</w:t>
      </w:r>
      <w:r>
        <w:rPr>
          <w:rFonts w:hint="default" w:ascii="仿宋_gb2312" w:hAnsi="仿宋_gb2312" w:eastAsia="仿宋_gb2312" w:cs="仿宋_gb2312"/>
          <w:i w:val="0"/>
          <w:caps w:val="0"/>
          <w:color w:val="auto"/>
          <w:spacing w:val="0"/>
          <w:sz w:val="32"/>
          <w:szCs w:val="32"/>
          <w:shd w:val="clear" w:color="auto" w:fill="FFFFFF"/>
          <w:vertAlign w:val="baseline"/>
        </w:rPr>
        <w:t>办好廊坊经洽会、数博会,开展“跨国企业河北行”系列活动,开展“云招商”系列对接会,拓宽招商引资渠道。建立服务外资企业工作专班,完善与在华外国商协会、外资企业常态化交流机制,积极解决外资企业在冀营商便利等问题,进一步稳住和扩大外商投资。实施外商投资奖励政策,安排1亿元资金,对符合条件的重点外资企业按照外方实缴注册资本和实际到位外资不超过2%的比例给予奖励、最高不超过1000万;对境外世界500强和全球行业龙头企业设立外资研发机构和符合条件的制造业企业、战略性新兴产业及工业设计等领域企业,按“一企业一议”给予资金支持。</w:t>
      </w:r>
      <w:r>
        <w:rPr>
          <w:rFonts w:hint="default" w:ascii="楷体_gb2312" w:hAnsi="楷体_gb2312" w:eastAsia="楷体_gb2312" w:cs="楷体_gb2312"/>
          <w:i w:val="0"/>
          <w:caps w:val="0"/>
          <w:color w:val="auto"/>
          <w:spacing w:val="0"/>
          <w:sz w:val="32"/>
          <w:szCs w:val="32"/>
          <w:shd w:val="clear" w:color="auto" w:fill="FFFFFF"/>
          <w:vertAlign w:val="baseline"/>
        </w:rPr>
        <w:t>(省商务厅、省发展改革委、省工业和信息化厅、省贸促会、省财政厅负责)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黑体" w:hAnsi="宋体" w:eastAsia="黑体" w:cs="黑体"/>
          <w:i w:val="0"/>
          <w:caps w:val="0"/>
          <w:color w:val="auto"/>
          <w:spacing w:val="0"/>
          <w:sz w:val="32"/>
          <w:szCs w:val="32"/>
          <w:shd w:val="clear" w:color="auto" w:fill="FFFFFF"/>
          <w:vertAlign w:val="baseline"/>
        </w:rPr>
        <w:t>八、千方百计保基本民生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40.实施住房公积金支持政策。</w:t>
      </w:r>
      <w:r>
        <w:rPr>
          <w:rFonts w:hint="default" w:ascii="仿宋_gb2312" w:hAnsi="仿宋_gb2312" w:eastAsia="仿宋_gb2312" w:cs="仿宋_gb2312"/>
          <w:i w:val="0"/>
          <w:caps w:val="0"/>
          <w:color w:val="auto"/>
          <w:spacing w:val="0"/>
          <w:sz w:val="32"/>
          <w:szCs w:val="32"/>
          <w:shd w:val="clear" w:color="auto" w:fill="FFFFFF"/>
          <w:vertAlign w:val="baseline"/>
        </w:rPr>
        <w:t>受疫情影响的企业,可按规定申请缓缴住房公积金,到期后进行补缴,在此期间,缴存职工正常提取和申请住房公积金贷款,不受缓缴影响;受疫情影响的缴存人,不能正常偿还住房公积金贷款的,不作逾期处理,不作为逾期记录报送征信部门;各地可根据本地实际情况,提高住房公积金租房提取额度,更好满足实际需要,实施时限暂定至2022年底。新购首套和改善型住房的缴存人可提取本人及其配偶住房公积金账户存储余额,夫妻双方累计提取总额不超过实际购房支出。</w:t>
      </w:r>
      <w:r>
        <w:rPr>
          <w:rFonts w:hint="default" w:ascii="楷体_gb2312" w:hAnsi="楷体_gb2312" w:eastAsia="楷体_gb2312" w:cs="楷体_gb2312"/>
          <w:i w:val="0"/>
          <w:caps w:val="0"/>
          <w:color w:val="auto"/>
          <w:spacing w:val="0"/>
          <w:sz w:val="32"/>
          <w:szCs w:val="32"/>
          <w:shd w:val="clear" w:color="auto" w:fill="FFFFFF"/>
          <w:vertAlign w:val="baseline"/>
        </w:rPr>
        <w:t>(省住房城乡建设厅、省财政厅、人行石家庄中心支行负责)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41.加大高校毕业生就业扶持力度。</w:t>
      </w:r>
      <w:r>
        <w:rPr>
          <w:rFonts w:hint="default" w:ascii="仿宋_gb2312" w:hAnsi="仿宋_gb2312" w:eastAsia="仿宋_gb2312" w:cs="仿宋_gb2312"/>
          <w:i w:val="0"/>
          <w:caps w:val="0"/>
          <w:color w:val="auto"/>
          <w:spacing w:val="0"/>
          <w:sz w:val="32"/>
          <w:szCs w:val="32"/>
          <w:shd w:val="clear" w:color="auto" w:fill="FFFFFF"/>
          <w:vertAlign w:val="baseline"/>
        </w:rPr>
        <w:t>支持中小微企业更多吸纳高校毕业生就业,按规定给予最长不超过3年的社会保险补贴。中小微企业招用毕业年度高校毕业生并签订1年以上劳动合同的,给予每人1000元一次性吸纳就业补贴;企业招用毕业年度高校毕业生,签订劳动合同并参加失业保险的,可按每人1500元的标准发放一次性扩岗补助;扩岗补助和吸纳就业补贴政策实施期限截至2022年底,不重复享受。对灵活就业、办理就业登记并缴纳社会保险费的高校毕业生,给予最长不超过2年、最高不超过其实际缴费2/3数额的社会保险补贴。</w:t>
      </w:r>
      <w:r>
        <w:rPr>
          <w:rFonts w:hint="default" w:ascii="楷体_gb2312" w:hAnsi="楷体_gb2312" w:eastAsia="楷体_gb2312" w:cs="楷体_gb2312"/>
          <w:i w:val="0"/>
          <w:caps w:val="0"/>
          <w:color w:val="auto"/>
          <w:spacing w:val="0"/>
          <w:sz w:val="32"/>
          <w:szCs w:val="32"/>
          <w:shd w:val="clear" w:color="auto" w:fill="FFFFFF"/>
          <w:vertAlign w:val="baseline"/>
        </w:rPr>
        <w:t>(省人力资源社会保障厅、省财政厅负责)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42.完善农业转移人口和农村劳动力就业创业支持政策。</w:t>
      </w:r>
      <w:bookmarkStart w:id="0" w:name="_GoBack"/>
      <w:bookmarkEnd w:id="0"/>
      <w:r>
        <w:rPr>
          <w:rFonts w:hint="default" w:ascii="仿宋_gb2312" w:hAnsi="仿宋_gb2312" w:eastAsia="仿宋_gb2312" w:cs="仿宋_gb2312"/>
          <w:i w:val="0"/>
          <w:caps w:val="0"/>
          <w:color w:val="auto"/>
          <w:spacing w:val="0"/>
          <w:sz w:val="32"/>
          <w:szCs w:val="32"/>
          <w:shd w:val="clear" w:color="auto" w:fill="FFFFFF"/>
          <w:vertAlign w:val="baseline"/>
        </w:rPr>
        <w:t>落实完善财政转移支付与农业转移人口市民化挂钩政策,统筹安排中央和省农业转移人口市民化奖励资金,向农业转移人口落户规模大、新增落户多、基本公共服务成本高的财政困难地区倾斜。将符合条件的新市民纳入创业担保贷款扶持范围。依据国土空间规划和上一年度进城落户人口数量,合理安排各类城镇年度新增建设用地规模。推进巩固拓展脱贫攻坚成果同乡村振兴有效衔接,扩大以工代赈实施领域,推动脱贫人口、因疫因灾无法外出务工劳动力等群体实现就地就近就业,不断拓宽就业渠道。</w:t>
      </w:r>
      <w:r>
        <w:rPr>
          <w:rFonts w:hint="default" w:ascii="楷体_gb2312" w:hAnsi="楷体_gb2312" w:eastAsia="楷体_gb2312" w:cs="楷体_gb2312"/>
          <w:i w:val="0"/>
          <w:caps w:val="0"/>
          <w:color w:val="auto"/>
          <w:spacing w:val="0"/>
          <w:sz w:val="32"/>
          <w:szCs w:val="32"/>
          <w:shd w:val="clear" w:color="auto" w:fill="FFFFFF"/>
          <w:vertAlign w:val="baseline"/>
        </w:rPr>
        <w:t>(省财政厅、省人力资源社会保障厅、省自然资源厅、省发展改革委、省农业农村厅负责)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楷体_gb2312" w:hAnsi="楷体_gb2312" w:eastAsia="楷体_gb2312" w:cs="楷体_gb2312"/>
          <w:i w:val="0"/>
          <w:caps w:val="0"/>
          <w:color w:val="auto"/>
          <w:spacing w:val="0"/>
          <w:sz w:val="32"/>
          <w:szCs w:val="32"/>
          <w:shd w:val="clear" w:color="auto" w:fill="FFFFFF"/>
          <w:vertAlign w:val="baseline"/>
        </w:rPr>
        <w:t>43.完善社会民生兜底保障措施。</w:t>
      </w:r>
      <w:r>
        <w:rPr>
          <w:rFonts w:hint="default" w:ascii="仿宋_gb2312" w:hAnsi="仿宋_gb2312" w:eastAsia="仿宋_gb2312" w:cs="仿宋_gb2312"/>
          <w:i w:val="0"/>
          <w:caps w:val="0"/>
          <w:color w:val="auto"/>
          <w:spacing w:val="0"/>
          <w:sz w:val="32"/>
          <w:szCs w:val="32"/>
          <w:shd w:val="clear" w:color="auto" w:fill="FFFFFF"/>
          <w:vertAlign w:val="baseline"/>
        </w:rPr>
        <w:t>指导各地落实好社会救助和保障标准与物价上涨挂钩联动机制,及时足额发放补贴,缓解因物价上涨对低收入人口基本生活造成的影响。用好中央和省级财政救助补助资金,通过财政资金直达机制,及时足额发放到需要帮扶救助的群众手中。做好需要救助保障的困难群体帮扶工作,对临时生活困难群众给予针对性帮扶。在疫情防控中保障群众基本生活,做好米面油、蔬菜、肉蛋奶等生活物资保供稳价工作。统筹发展和安全,全面开展安全生产大检查,严防交通运输、建筑、煤矿、燃气等方面安全事故,抓好食品药品农产品安全、森林草原防火、防汛抗旱等工作,深入开展自建房安全专项整治,切实保障人民群众生命财产安全。</w:t>
      </w:r>
      <w:r>
        <w:rPr>
          <w:rFonts w:hint="default" w:ascii="楷体_gb2312" w:hAnsi="楷体_gb2312" w:eastAsia="楷体_gb2312" w:cs="楷体_gb2312"/>
          <w:i w:val="0"/>
          <w:caps w:val="0"/>
          <w:color w:val="auto"/>
          <w:spacing w:val="0"/>
          <w:sz w:val="32"/>
          <w:szCs w:val="32"/>
          <w:shd w:val="clear" w:color="auto" w:fill="FFFFFF"/>
          <w:vertAlign w:val="baseline"/>
        </w:rPr>
        <w:t>(省发展改革委、省民政厅、省财政厅、省商务厅、省应急管理厅、省住房城乡建设厅、省市场监管局、省水利厅、省林业和草原局负责)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5" w:beforeAutospacing="0" w:after="0" w:afterAutospacing="0"/>
        <w:ind w:left="0" w:right="0" w:firstLine="0"/>
        <w:rPr>
          <w:rFonts w:hint="default" w:ascii="microsoft yahei" w:hAnsi="microsoft yahei" w:eastAsia="microsoft yahei" w:cs="microsoft yahei"/>
          <w:i w:val="0"/>
          <w:caps w:val="0"/>
          <w:color w:val="auto"/>
          <w:spacing w:val="0"/>
          <w:sz w:val="32"/>
          <w:szCs w:val="32"/>
        </w:rPr>
      </w:pPr>
      <w:r>
        <w:rPr>
          <w:rFonts w:hint="default" w:ascii="microsoft yahei" w:hAnsi="microsoft yahei" w:eastAsia="microsoft yahei" w:cs="microsoft yahei"/>
          <w:i w:val="0"/>
          <w:caps w:val="0"/>
          <w:color w:val="auto"/>
          <w:spacing w:val="0"/>
          <w:sz w:val="32"/>
          <w:szCs w:val="32"/>
          <w:shd w:val="clear" w:color="auto" w:fill="FFFFFF"/>
        </w:rPr>
        <w:t>　　</w:t>
      </w:r>
      <w:r>
        <w:rPr>
          <w:rFonts w:hint="default" w:ascii="仿宋_gb2312" w:hAnsi="仿宋_gb2312" w:eastAsia="仿宋_gb2312" w:cs="仿宋_gb2312"/>
          <w:i w:val="0"/>
          <w:caps w:val="0"/>
          <w:color w:val="auto"/>
          <w:spacing w:val="0"/>
          <w:sz w:val="32"/>
          <w:szCs w:val="32"/>
          <w:shd w:val="clear" w:color="auto" w:fill="FFFFFF"/>
          <w:vertAlign w:val="baseline"/>
        </w:rPr>
        <w:t>本政策措施有效期至2022年12月31日(具体措施明确执行期限的,从其规定)。国家有相关规定的,从其规定。</w:t>
      </w:r>
    </w:p>
    <w:p>
      <w:pPr>
        <w:rPr>
          <w:color w:val="auto"/>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microsoft yahei">
    <w:altName w:val="URW Bookman"/>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0000000000000000000"/>
    <w:charset w:val="00"/>
    <w:family w:val="auto"/>
    <w:pitch w:val="default"/>
    <w:sig w:usb0="00000000" w:usb1="00000000" w:usb2="00000000" w:usb3="00000000" w:csb0="00040001" w:csb1="00000000"/>
  </w:font>
  <w:font w:name="楷体_gb2312">
    <w:altName w:val="方正楷体_GBK"/>
    <w:panose1 w:val="00000000000000000000"/>
    <w:charset w:val="00"/>
    <w:family w:val="auto"/>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6FDAA48"/>
    <w:rsid w:val="CFF5D958"/>
    <w:rsid w:val="E37D29CC"/>
    <w:rsid w:val="FF3F23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user</cp:lastModifiedBy>
  <dcterms:modified xsi:type="dcterms:W3CDTF">2022-06-17T10:09:50Z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