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36"/>
          <w:lang w:val="en-US" w:eastAsia="zh-CN"/>
        </w:rPr>
      </w:pPr>
      <w:r>
        <w:rPr>
          <w:rFonts w:hint="eastAsia" w:ascii="方正小标宋简体" w:hAnsi="方正小标宋简体" w:eastAsia="方正小标宋简体" w:cs="方正小标宋简体"/>
          <w:color w:val="auto"/>
          <w:sz w:val="36"/>
          <w:lang w:val="en-US" w:eastAsia="zh-CN"/>
        </w:rPr>
        <w:t>唐山市发展和改革委员会权责清单事项总表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（共六类、</w:t>
      </w:r>
      <w:r>
        <w:rPr>
          <w:rFonts w:hint="default" w:ascii="楷体" w:hAnsi="楷体" w:eastAsia="楷体" w:cs="楷体"/>
          <w:color w:val="auto"/>
          <w:sz w:val="32"/>
          <w:szCs w:val="32"/>
          <w:lang w:val="en" w:eastAsia="zh-CN"/>
        </w:rPr>
        <w:t>6</w:t>
      </w:r>
      <w:r>
        <w:rPr>
          <w:rFonts w:hint="eastAsia" w:ascii="楷体" w:hAnsi="楷体" w:eastAsia="楷体" w:cs="楷体"/>
          <w:color w:val="auto"/>
          <w:sz w:val="32"/>
          <w:szCs w:val="32"/>
          <w:lang w:val="en-US" w:eastAsia="zh-CN"/>
        </w:rPr>
        <w:t>2</w:t>
      </w:r>
      <w:bookmarkStart w:id="0" w:name="_GoBack"/>
      <w:bookmarkEnd w:id="0"/>
      <w:r>
        <w:rPr>
          <w:rFonts w:hint="eastAsia" w:ascii="楷体" w:hAnsi="楷体" w:eastAsia="楷体" w:cs="楷体"/>
          <w:color w:val="auto"/>
          <w:sz w:val="32"/>
          <w:szCs w:val="32"/>
          <w:lang w:val="en-US" w:eastAsia="zh-CN"/>
        </w:rPr>
        <w:t>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color w:val="auto"/>
          <w:lang w:val="en-US" w:eastAsia="zh-CN"/>
        </w:rPr>
      </w:pPr>
      <w:r>
        <w:rPr>
          <w:rFonts w:hint="eastAsia" w:ascii="楷体_GB2312" w:hAnsi="楷体_GB2312" w:eastAsia="楷体_GB2312"/>
          <w:color w:val="auto"/>
          <w:sz w:val="28"/>
          <w:lang w:val="en-US" w:eastAsia="zh-CN"/>
        </w:rPr>
        <w:t>单位：</w:t>
      </w:r>
      <w:r>
        <w:rPr>
          <w:rFonts w:hint="eastAsia" w:ascii="楷体_GB2312" w:hAnsi="楷体_GB2312" w:eastAsia="楷体_GB2312" w:cs="Arial"/>
          <w:color w:val="auto"/>
          <w:sz w:val="28"/>
          <w:lang w:val="en-US" w:eastAsia="zh-CN"/>
        </w:rPr>
        <w:t>唐山市发展和改革委员会（公章）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563"/>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autoSpaceDE w:val="0"/>
              <w:autoSpaceDN w:val="0"/>
              <w:adjustRightInd w:val="0"/>
              <w:ind w:left="0" w:leftChars="0" w:right="0" w:rightChars="0" w:firstLine="0" w:firstLineChars="0"/>
              <w:jc w:val="center"/>
              <w:rPr>
                <w:rFonts w:hint="eastAsia" w:ascii="黑体" w:hAnsi="黑体" w:eastAsia="黑体"/>
                <w:color w:val="auto"/>
                <w:sz w:val="32"/>
                <w:vertAlign w:val="baseline"/>
                <w:lang w:val="en-US" w:eastAsia="zh-CN"/>
              </w:rPr>
            </w:pPr>
            <w:r>
              <w:rPr>
                <w:rFonts w:hint="eastAsia" w:ascii="黑体" w:hAnsi="黑体" w:eastAsia="黑体"/>
                <w:color w:val="auto"/>
                <w:sz w:val="32"/>
                <w:szCs w:val="28"/>
                <w:lang w:val="zh-CN"/>
              </w:rPr>
              <w:t>总序号</w:t>
            </w:r>
          </w:p>
        </w:tc>
        <w:tc>
          <w:tcPr>
            <w:tcW w:w="3200" w:type="dxa"/>
            <w:noWrap w:val="0"/>
            <w:vAlign w:val="center"/>
          </w:tcPr>
          <w:p>
            <w:pPr>
              <w:autoSpaceDE w:val="0"/>
              <w:autoSpaceDN w:val="0"/>
              <w:adjustRightInd w:val="0"/>
              <w:ind w:left="0" w:leftChars="0" w:right="0" w:rightChars="0" w:firstLine="0" w:firstLineChars="0"/>
              <w:jc w:val="center"/>
              <w:rPr>
                <w:rFonts w:hint="eastAsia" w:ascii="黑体" w:hAnsi="黑体" w:eastAsia="黑体"/>
                <w:color w:val="auto"/>
                <w:sz w:val="32"/>
                <w:vertAlign w:val="baseline"/>
                <w:lang w:val="en-US" w:eastAsia="zh-CN"/>
              </w:rPr>
            </w:pPr>
            <w:r>
              <w:rPr>
                <w:rFonts w:hint="eastAsia" w:ascii="黑体" w:hAnsi="黑体" w:eastAsia="黑体"/>
                <w:color w:val="auto"/>
                <w:sz w:val="32"/>
                <w:szCs w:val="28"/>
                <w:lang w:val="zh-CN"/>
              </w:rPr>
              <w:t>类别及序号</w:t>
            </w:r>
          </w:p>
        </w:tc>
        <w:tc>
          <w:tcPr>
            <w:tcW w:w="6563" w:type="dxa"/>
            <w:noWrap w:val="0"/>
            <w:vAlign w:val="center"/>
          </w:tcPr>
          <w:p>
            <w:pPr>
              <w:autoSpaceDE w:val="0"/>
              <w:autoSpaceDN w:val="0"/>
              <w:adjustRightInd w:val="0"/>
              <w:ind w:left="0" w:leftChars="0" w:right="0" w:rightChars="0" w:firstLine="0" w:firstLineChars="0"/>
              <w:jc w:val="center"/>
              <w:rPr>
                <w:rFonts w:hint="eastAsia" w:ascii="黑体" w:hAnsi="黑体" w:eastAsia="黑体"/>
                <w:color w:val="auto"/>
                <w:sz w:val="32"/>
                <w:vertAlign w:val="baseline"/>
                <w:lang w:val="en-US" w:eastAsia="zh-CN"/>
              </w:rPr>
            </w:pPr>
            <w:r>
              <w:rPr>
                <w:rFonts w:hint="eastAsia" w:ascii="黑体" w:hAnsi="黑体" w:eastAsia="黑体"/>
                <w:color w:val="auto"/>
                <w:sz w:val="32"/>
                <w:szCs w:val="28"/>
                <w:lang w:val="zh-CN"/>
              </w:rPr>
              <w:t>项目名称及数量</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olor w:val="auto"/>
                <w:sz w:val="32"/>
                <w:vertAlign w:val="baseline"/>
                <w:lang w:val="en-US" w:eastAsia="zh-CN"/>
              </w:rPr>
            </w:pPr>
            <w:r>
              <w:rPr>
                <w:rFonts w:hint="eastAsia" w:ascii="黑体" w:hAnsi="黑体" w:eastAsia="黑体"/>
                <w:color w:val="auto"/>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一、行政许可</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共 1 项</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新建不能满足管道保护要求的石油天然气管道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保护方案审查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二、行政处罚</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共</w:t>
            </w:r>
            <w:r>
              <w:rPr>
                <w:rFonts w:hint="default" w:ascii="方正仿宋简体" w:hAnsi="方正仿宋简体" w:eastAsia="方正仿宋简体" w:cs="方正仿宋简体"/>
                <w:color w:val="auto"/>
                <w:sz w:val="30"/>
                <w:szCs w:val="30"/>
                <w:vertAlign w:val="baseline"/>
                <w:lang w:val="en" w:eastAsia="zh-CN"/>
              </w:rPr>
              <w:t>39</w:t>
            </w:r>
            <w:r>
              <w:rPr>
                <w:rFonts w:hint="eastAsia" w:ascii="方正仿宋简体" w:hAnsi="方正仿宋简体" w:eastAsia="方正仿宋简体" w:cs="方正仿宋简体"/>
                <w:color w:val="auto"/>
                <w:sz w:val="30"/>
                <w:szCs w:val="30"/>
                <w:vertAlign w:val="baseline"/>
                <w:lang w:val="en-US" w:eastAsia="zh-CN"/>
              </w:rPr>
              <w:t>项</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2</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w:t>
            </w:r>
          </w:p>
        </w:tc>
        <w:tc>
          <w:tcPr>
            <w:tcW w:w="6563" w:type="dxa"/>
            <w:noWrap w:val="0"/>
            <w:vAlign w:val="center"/>
          </w:tcPr>
          <w:p>
            <w:pPr>
              <w:rPr>
                <w:rFonts w:hint="default" w:ascii="方正仿宋简体" w:hAnsi="方正仿宋简体" w:eastAsia="方正仿宋简体" w:cs="方正仿宋简体"/>
                <w:color w:val="auto"/>
                <w:sz w:val="30"/>
                <w:szCs w:val="30"/>
                <w:vertAlign w:val="baseline"/>
                <w:lang w:val="en" w:eastAsia="zh-CN"/>
              </w:rPr>
            </w:pPr>
            <w:r>
              <w:rPr>
                <w:rFonts w:hint="eastAsia" w:ascii="方正仿宋简体" w:hAnsi="方正仿宋简体" w:eastAsia="方正仿宋简体" w:cs="方正仿宋简体"/>
                <w:color w:val="auto"/>
                <w:sz w:val="30"/>
                <w:szCs w:val="30"/>
                <w:vertAlign w:val="baseline"/>
                <w:lang w:val="en" w:eastAsia="zh-CN"/>
              </w:rPr>
              <w:t>对未依法办理核准手续开工建设等行为的处罚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3</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2</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对投资建设产业政策禁止投资建设项目的处罚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both"/>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 xml:space="preserve">   4</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3</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rPr>
              <w:t>对</w:t>
            </w:r>
            <w:r>
              <w:rPr>
                <w:rFonts w:hint="eastAsia" w:ascii="方正仿宋简体" w:hAnsi="方正仿宋简体" w:eastAsia="方正仿宋简体" w:cs="方正仿宋简体"/>
                <w:color w:val="auto"/>
                <w:sz w:val="30"/>
                <w:szCs w:val="30"/>
                <w:lang w:eastAsia="zh-CN"/>
              </w:rPr>
              <w:t>违法使用国家明令淘汰的电力设备和技术的处罚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5</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4</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对危害供电、用电安全或者扰乱供电、用电秩序的处罚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exac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6</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5</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对盗窃电能的处罚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7</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6</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对在特定区域内实施危害安全供电行为的处罚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8</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7</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对新建、改建、扩建水泥生产建设项目未按照散装水泥发放能力不低于百分之九十的标准进行设计和同步建设的处罚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9</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8</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对违法使用袋装水泥在施工现场搅拌混凝土和砂浆的处罚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10</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9</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对使用列入淘汰名录的技术、工艺、设备、材料的处罚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11</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10</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对未在规定范围或者期限内停止使用不符合国家规定的燃油发电机组或者燃油锅炉的处罚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12</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11</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对使用国家明令淘汰的用能设备或者生产工艺的行为的处罚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13</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12</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对从事节能咨询、设计、评估、检测、审计、认证等服务机构提供虚假信息的处罚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14</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13</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对违法无偿向本单位职工提供能源或者对能源消费实行包费制的处罚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15</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14</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rPr>
              <w:t>对</w:t>
            </w:r>
            <w:r>
              <w:rPr>
                <w:rFonts w:hint="eastAsia" w:ascii="方正仿宋简体" w:hAnsi="方正仿宋简体" w:eastAsia="方正仿宋简体" w:cs="方正仿宋简体"/>
                <w:color w:val="auto"/>
                <w:sz w:val="30"/>
                <w:szCs w:val="30"/>
                <w:lang w:eastAsia="zh-CN"/>
              </w:rPr>
              <w:t>重点用能单位未按照规定报送能源利用状况报告或者报告内容不实的处罚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16</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15</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对重点用能单位不按规定进行整改的处罚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17</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16</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对重点用能单位未依法设立能源管理岗位并进行管理行为的处罚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18</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17</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对未按规定进行节能审查等行为的处罚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19</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18</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对以不正当手段通过或逃避节能审查的处罚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20</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19</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对未按规定进行节能验收等行为的处罚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21</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20</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对被监察单位拒绝节能验收等行为的处罚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22</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21</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对虚报、瞒报、拒报或者伪造、篡改价格监测资料的处罚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23</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22</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对管道企业不按照规定对管道进行巡护、检测和维修等行为的处罚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24</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23</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对违法实施危害管道安全行为的处罚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eastAsia" w:ascii="方正仿宋简体" w:hAnsi="方正仿宋简体" w:eastAsia="方正仿宋简体" w:cs="方正仿宋简体"/>
                <w:color w:val="auto"/>
                <w:sz w:val="30"/>
                <w:szCs w:val="30"/>
                <w:vertAlign w:val="baseline"/>
                <w:lang w:val="en-US" w:eastAsia="zh-CN"/>
              </w:rPr>
              <w:t>2</w:t>
            </w:r>
            <w:r>
              <w:rPr>
                <w:rFonts w:hint="default" w:ascii="方正仿宋简体" w:hAnsi="方正仿宋简体" w:eastAsia="方正仿宋简体" w:cs="方正仿宋简体"/>
                <w:color w:val="auto"/>
                <w:sz w:val="30"/>
                <w:szCs w:val="30"/>
                <w:vertAlign w:val="baseline"/>
                <w:lang w:val="en" w:eastAsia="zh-CN"/>
              </w:rPr>
              <w:t>5</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eastAsia" w:ascii="方正仿宋简体" w:hAnsi="方正仿宋简体" w:eastAsia="方正仿宋简体" w:cs="方正仿宋简体"/>
                <w:color w:val="auto"/>
                <w:sz w:val="30"/>
                <w:szCs w:val="30"/>
                <w:vertAlign w:val="baseline"/>
                <w:lang w:val="en-US" w:eastAsia="zh-CN"/>
              </w:rPr>
              <w:t>2</w:t>
            </w:r>
            <w:r>
              <w:rPr>
                <w:rFonts w:hint="default" w:ascii="方正仿宋简体" w:hAnsi="方正仿宋简体" w:eastAsia="方正仿宋简体" w:cs="方正仿宋简体"/>
                <w:color w:val="auto"/>
                <w:sz w:val="30"/>
                <w:szCs w:val="30"/>
                <w:vertAlign w:val="baseline"/>
                <w:lang w:val="en" w:eastAsia="zh-CN"/>
              </w:rPr>
              <w:t>4</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对未经依法批准进行特定施工作业的处罚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eastAsia" w:ascii="方正仿宋简体" w:hAnsi="方正仿宋简体" w:eastAsia="方正仿宋简体" w:cs="方正仿宋简体"/>
                <w:color w:val="auto"/>
                <w:sz w:val="30"/>
                <w:szCs w:val="30"/>
                <w:vertAlign w:val="baseline"/>
                <w:lang w:val="en-US" w:eastAsia="zh-CN"/>
              </w:rPr>
              <w:t>2</w:t>
            </w:r>
            <w:r>
              <w:rPr>
                <w:rFonts w:hint="default" w:ascii="方正仿宋简体" w:hAnsi="方正仿宋简体" w:eastAsia="方正仿宋简体" w:cs="方正仿宋简体"/>
                <w:color w:val="auto"/>
                <w:sz w:val="30"/>
                <w:szCs w:val="30"/>
                <w:vertAlign w:val="baseline"/>
                <w:lang w:val="en" w:eastAsia="zh-CN"/>
              </w:rPr>
              <w:t>6</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eastAsia" w:ascii="方正仿宋简体" w:hAnsi="方正仿宋简体" w:eastAsia="方正仿宋简体" w:cs="方正仿宋简体"/>
                <w:color w:val="auto"/>
                <w:sz w:val="30"/>
                <w:szCs w:val="30"/>
                <w:vertAlign w:val="baseline"/>
                <w:lang w:val="en-US" w:eastAsia="zh-CN"/>
              </w:rPr>
              <w:t>2</w:t>
            </w:r>
            <w:r>
              <w:rPr>
                <w:rFonts w:hint="default" w:ascii="方正仿宋简体" w:hAnsi="方正仿宋简体" w:eastAsia="方正仿宋简体" w:cs="方正仿宋简体"/>
                <w:color w:val="auto"/>
                <w:sz w:val="30"/>
                <w:szCs w:val="30"/>
                <w:vertAlign w:val="baseline"/>
                <w:lang w:val="en" w:eastAsia="zh-CN"/>
              </w:rPr>
              <w:t>5</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对擅自开启、关闭管道阀门等行为的处罚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27</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26</w:t>
            </w:r>
          </w:p>
        </w:tc>
        <w:tc>
          <w:tcPr>
            <w:tcW w:w="6563" w:type="dxa"/>
            <w:noWrap w:val="0"/>
            <w:vAlign w:val="center"/>
          </w:tcPr>
          <w:p>
            <w:pPr>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对承储政府粮食储备的企业或者其他组织拒不执行或者违反政府粮食储备的收购、销售、轮换、动用等规定行为的行政处罚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28</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27</w:t>
            </w:r>
          </w:p>
        </w:tc>
        <w:tc>
          <w:tcPr>
            <w:tcW w:w="6563" w:type="dxa"/>
            <w:noWrap w:val="0"/>
            <w:vAlign w:val="center"/>
          </w:tcPr>
          <w:p>
            <w:pPr>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对侵占、损毁、擅自拆除或者迁移政府投资建设的粮食流通基础设施，或者擅自改变其用途行为的行政处罚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29</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28</w:t>
            </w:r>
          </w:p>
        </w:tc>
        <w:tc>
          <w:tcPr>
            <w:tcW w:w="6563" w:type="dxa"/>
            <w:noWrap w:val="0"/>
            <w:vAlign w:val="center"/>
          </w:tcPr>
          <w:p>
            <w:pPr>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对粮食应急状态发生时，不服从县级以上人民政府的统一指挥和调度，或者不配合采取应急处置措施行为的行政处罚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30</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29</w:t>
            </w:r>
          </w:p>
        </w:tc>
        <w:tc>
          <w:tcPr>
            <w:tcW w:w="6563" w:type="dxa"/>
            <w:noWrap w:val="0"/>
            <w:vAlign w:val="center"/>
          </w:tcPr>
          <w:p>
            <w:pPr>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对粮食收购企业未按照规定备案或者提供虚假信息行为的行政处罚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31</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30</w:t>
            </w:r>
          </w:p>
        </w:tc>
        <w:tc>
          <w:tcPr>
            <w:tcW w:w="6563" w:type="dxa"/>
            <w:noWrap w:val="0"/>
            <w:vAlign w:val="center"/>
          </w:tcPr>
          <w:p>
            <w:pPr>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对粮食收购者未执行国家粮食质量标准等行为的行政处罚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32</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31</w:t>
            </w:r>
          </w:p>
        </w:tc>
        <w:tc>
          <w:tcPr>
            <w:tcW w:w="6563" w:type="dxa"/>
            <w:noWrap w:val="0"/>
            <w:vAlign w:val="center"/>
          </w:tcPr>
          <w:p>
            <w:pPr>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对粮食收购者、粮食储存企业未按照规定使用仓储设施、运输工具行为的行政处罚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33</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32</w:t>
            </w:r>
          </w:p>
        </w:tc>
        <w:tc>
          <w:tcPr>
            <w:tcW w:w="6563" w:type="dxa"/>
            <w:noWrap w:val="0"/>
            <w:vAlign w:val="center"/>
          </w:tcPr>
          <w:p>
            <w:pPr>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对粮食收购者、粮食储存企业将不得作为食用用途的粮食作为食用用途销售出库行为的行政处罚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34</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33</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对从事政策性粮食经营活动虚报粮食收储数量等行为的行政处罚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35</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34</w:t>
            </w:r>
          </w:p>
        </w:tc>
        <w:tc>
          <w:tcPr>
            <w:tcW w:w="6563" w:type="dxa"/>
            <w:noWrap w:val="0"/>
            <w:vAlign w:val="center"/>
          </w:tcPr>
          <w:p>
            <w:pPr>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对有违反《粮食流通管理条例》规定的违法情形且情节严重的从事粮食经营活动的企业的法定代表人、主要负责人、直接负责的主管人员和其他直接责任人员的行政处罚。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36</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35</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对粮食经营者采购或者供应不符合规定的质量等级要求的政策性粮食行为的行政处罚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37</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36</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eastAsia="zh-CN"/>
              </w:rPr>
              <w:t>对粮油仓储单位违反备案规定的行政处罚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38</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37</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对粮油仓储单位不具备《粮油仓储管理办法》规定的仓储条件的行政处罚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39</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38</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对粮油仓储单位名称不符合规定的行政处罚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40</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39</w:t>
            </w:r>
          </w:p>
        </w:tc>
        <w:tc>
          <w:tcPr>
            <w:tcW w:w="6563" w:type="dxa"/>
            <w:noWrap w:val="0"/>
            <w:vAlign w:val="center"/>
          </w:tcPr>
          <w:p>
            <w:pPr>
              <w:tabs>
                <w:tab w:val="left" w:pos="1031"/>
              </w:tabs>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对粮油仓储单位违反粮油出入库、储存等管理规定的行政处罚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lang w:eastAsia="zh-CN"/>
              </w:rPr>
              <w:t>三、行政检查</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vertAlign w:val="baseline"/>
                <w:lang w:val="en-US" w:eastAsia="zh-CN"/>
              </w:rPr>
              <w:t>共</w:t>
            </w:r>
            <w:r>
              <w:rPr>
                <w:rFonts w:hint="default" w:ascii="方正仿宋简体" w:hAnsi="方正仿宋简体" w:eastAsia="方正仿宋简体" w:cs="方正仿宋简体"/>
                <w:color w:val="auto"/>
                <w:sz w:val="30"/>
                <w:szCs w:val="30"/>
                <w:vertAlign w:val="baseline"/>
                <w:lang w:val="en" w:eastAsia="zh-CN"/>
              </w:rPr>
              <w:t>12</w:t>
            </w:r>
            <w:r>
              <w:rPr>
                <w:rFonts w:hint="eastAsia" w:ascii="方正仿宋简体" w:hAnsi="方正仿宋简体" w:eastAsia="方正仿宋简体" w:cs="方正仿宋简体"/>
                <w:color w:val="auto"/>
                <w:sz w:val="30"/>
                <w:szCs w:val="30"/>
                <w:vertAlign w:val="baseline"/>
                <w:lang w:val="en-US" w:eastAsia="zh-CN"/>
              </w:rPr>
              <w:t>项</w:t>
            </w:r>
          </w:p>
        </w:tc>
        <w:tc>
          <w:tcPr>
            <w:tcW w:w="26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41</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w:t>
            </w:r>
          </w:p>
        </w:tc>
        <w:tc>
          <w:tcPr>
            <w:tcW w:w="6563" w:type="dxa"/>
            <w:noWrap w:val="0"/>
            <w:vAlign w:val="center"/>
          </w:tcPr>
          <w:p>
            <w:pPr>
              <w:rPr>
                <w:rFonts w:hint="default"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对中央、省预算内直接投资、投资补助和贴息资金项目实施情况监督检查</w:t>
            </w:r>
          </w:p>
        </w:tc>
        <w:tc>
          <w:tcPr>
            <w:tcW w:w="26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42</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２</w:t>
            </w:r>
          </w:p>
        </w:tc>
        <w:tc>
          <w:tcPr>
            <w:tcW w:w="6563" w:type="dxa"/>
            <w:noWrap w:val="0"/>
            <w:vAlign w:val="center"/>
          </w:tcPr>
          <w:p>
            <w:pPr>
              <w:rPr>
                <w:rFonts w:hint="eastAsia"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对水泥、预拌混凝土和预拌砂浆生产、经营、运输、使用单位监督检查</w:t>
            </w:r>
          </w:p>
        </w:tc>
        <w:tc>
          <w:tcPr>
            <w:tcW w:w="26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43</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３</w:t>
            </w:r>
          </w:p>
        </w:tc>
        <w:tc>
          <w:tcPr>
            <w:tcW w:w="6563" w:type="dxa"/>
            <w:noWrap w:val="0"/>
            <w:vAlign w:val="center"/>
          </w:tcPr>
          <w:p>
            <w:pPr>
              <w:rPr>
                <w:rFonts w:hint="eastAsia" w:ascii="方正仿宋简体" w:hAnsi="方正仿宋简体" w:eastAsia="方正仿宋简体" w:cs="方正仿宋简体"/>
                <w:color w:val="auto"/>
                <w:sz w:val="30"/>
                <w:szCs w:val="30"/>
                <w:lang w:val="en" w:eastAsia="zh-CN"/>
              </w:rPr>
            </w:pPr>
            <w:r>
              <w:rPr>
                <w:rFonts w:hint="eastAsia" w:ascii="方正仿宋简体" w:hAnsi="方正仿宋简体" w:eastAsia="方正仿宋简体" w:cs="方正仿宋简体"/>
                <w:color w:val="auto"/>
                <w:sz w:val="30"/>
                <w:szCs w:val="30"/>
                <w:lang w:val="en" w:eastAsia="zh-CN"/>
              </w:rPr>
              <w:t>对节能法律、法规和节能标准执行情况监督检查</w:t>
            </w:r>
          </w:p>
        </w:tc>
        <w:tc>
          <w:tcPr>
            <w:tcW w:w="26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44</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４</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对电力供应和使用监督检查</w:t>
            </w:r>
          </w:p>
        </w:tc>
        <w:tc>
          <w:tcPr>
            <w:tcW w:w="26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45</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５</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对企业投资项目的监督检查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46</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６</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对石油天然气管道企业履行管道保护义务情况的监督检查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47</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７</w:t>
            </w:r>
          </w:p>
        </w:tc>
        <w:tc>
          <w:tcPr>
            <w:tcW w:w="6563" w:type="dxa"/>
            <w:noWrap w:val="0"/>
            <w:vAlign w:val="center"/>
          </w:tcPr>
          <w:p>
            <w:pPr>
              <w:jc w:val="left"/>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对粮食库存的行政检查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48</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８</w:t>
            </w:r>
          </w:p>
        </w:tc>
        <w:tc>
          <w:tcPr>
            <w:tcW w:w="6563" w:type="dxa"/>
            <w:noWrap w:val="0"/>
            <w:vAlign w:val="center"/>
          </w:tcPr>
          <w:p>
            <w:pPr>
              <w:jc w:val="left"/>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对夏粮收购的专项行政检查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49</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９</w:t>
            </w:r>
          </w:p>
        </w:tc>
        <w:tc>
          <w:tcPr>
            <w:tcW w:w="6563" w:type="dxa"/>
            <w:noWrap w:val="0"/>
            <w:vAlign w:val="center"/>
          </w:tcPr>
          <w:p>
            <w:pPr>
              <w:jc w:val="left"/>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对秋粮收购的专项行政检查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50</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10</w:t>
            </w:r>
          </w:p>
        </w:tc>
        <w:tc>
          <w:tcPr>
            <w:tcW w:w="6563" w:type="dxa"/>
            <w:noWrap w:val="0"/>
            <w:vAlign w:val="center"/>
          </w:tcPr>
          <w:p>
            <w:pPr>
              <w:jc w:val="left"/>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对国家政策性粮食销售出库的行政检查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51</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11</w:t>
            </w:r>
          </w:p>
        </w:tc>
        <w:tc>
          <w:tcPr>
            <w:tcW w:w="6563" w:type="dxa"/>
            <w:noWrap w:val="0"/>
            <w:vAlign w:val="center"/>
          </w:tcPr>
          <w:p>
            <w:pPr>
              <w:jc w:val="left"/>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对小麦最低收购价收购巡查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52</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12</w:t>
            </w:r>
          </w:p>
        </w:tc>
        <w:tc>
          <w:tcPr>
            <w:tcW w:w="6563" w:type="dxa"/>
            <w:noWrap w:val="0"/>
            <w:vAlign w:val="center"/>
          </w:tcPr>
          <w:p>
            <w:pPr>
              <w:jc w:val="left"/>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对粮食和物资储备行业安全生产的行政检查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lang w:eastAsia="zh-CN"/>
              </w:rPr>
              <w:t>四</w:t>
            </w:r>
            <w:r>
              <w:rPr>
                <w:rFonts w:hint="eastAsia" w:ascii="方正仿宋简体" w:hAnsi="方正仿宋简体" w:eastAsia="方正仿宋简体" w:cs="方正仿宋简体"/>
                <w:color w:val="auto"/>
                <w:sz w:val="30"/>
                <w:szCs w:val="30"/>
              </w:rPr>
              <w:t>、行政确认</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vertAlign w:val="baseline"/>
                <w:lang w:val="en-US" w:eastAsia="zh-CN"/>
              </w:rPr>
              <w:t>共3项</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53</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1</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市</w:t>
            </w:r>
            <w:r>
              <w:rPr>
                <w:rFonts w:hint="eastAsia" w:ascii="方正仿宋简体" w:hAnsi="方正仿宋简体" w:eastAsia="方正仿宋简体" w:cs="方正仿宋简体"/>
                <w:color w:val="auto"/>
                <w:sz w:val="30"/>
                <w:szCs w:val="30"/>
              </w:rPr>
              <w:t>级企业技术中心认定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54</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2</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rPr>
              <w:t>价格认定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55</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3</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rPr>
              <w:t>价格认定复核</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五、行政备案</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共2项</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56</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left"/>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lang w:eastAsia="zh-CN"/>
              </w:rPr>
              <w:t>粮油仓储单位备案</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57</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left"/>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熏蒸作业熏蒸方案备案</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c>
          <w:tcPr>
            <w:tcW w:w="32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六、</w:t>
            </w:r>
            <w:r>
              <w:rPr>
                <w:rFonts w:hint="eastAsia" w:ascii="方正仿宋简体" w:hAnsi="方正仿宋简体" w:eastAsia="方正仿宋简体" w:cs="方正仿宋简体"/>
                <w:color w:val="auto"/>
                <w:sz w:val="30"/>
                <w:szCs w:val="30"/>
              </w:rPr>
              <w:t>其他</w:t>
            </w:r>
            <w:r>
              <w:rPr>
                <w:rFonts w:hint="eastAsia" w:ascii="方正仿宋简体" w:hAnsi="方正仿宋简体" w:eastAsia="方正仿宋简体" w:cs="方正仿宋简体"/>
                <w:color w:val="auto"/>
                <w:sz w:val="30"/>
                <w:szCs w:val="30"/>
                <w:lang w:eastAsia="zh-CN"/>
              </w:rPr>
              <w:t>类</w:t>
            </w:r>
          </w:p>
        </w:tc>
        <w:tc>
          <w:tcPr>
            <w:tcW w:w="656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共5项</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58</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vertAlign w:val="baseline"/>
                <w:lang w:val="en-US" w:eastAsia="zh-CN"/>
              </w:rPr>
              <w:t>1</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rPr>
              <w:t>价格争议行政调解处理</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b w:val="0"/>
                <w:i w:val="0"/>
                <w:snapToGrid/>
                <w:color w:val="auto"/>
                <w:sz w:val="30"/>
                <w:szCs w:val="3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59</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2</w:t>
            </w:r>
          </w:p>
        </w:tc>
        <w:tc>
          <w:tcPr>
            <w:tcW w:w="6563" w:type="dxa"/>
            <w:noWrap w:val="0"/>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rPr>
              <w:t>用煤投资项目煤炭替代方案审查</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60</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3</w:t>
            </w:r>
          </w:p>
        </w:tc>
        <w:tc>
          <w:tcPr>
            <w:tcW w:w="6563" w:type="dxa"/>
            <w:noWrap w:val="0"/>
            <w:vAlign w:val="center"/>
          </w:tcPr>
          <w:p>
            <w:pPr>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rPr>
              <w:t>中央预算内投资补助和贴息项目资金申请报告转报审核</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 w:eastAsia="zh-CN"/>
              </w:rPr>
            </w:pPr>
            <w:r>
              <w:rPr>
                <w:rFonts w:hint="default" w:ascii="方正仿宋简体" w:hAnsi="方正仿宋简体" w:eastAsia="方正仿宋简体" w:cs="方正仿宋简体"/>
                <w:color w:val="auto"/>
                <w:sz w:val="30"/>
                <w:szCs w:val="30"/>
                <w:vertAlign w:val="baseline"/>
                <w:lang w:val="en" w:eastAsia="zh-CN"/>
              </w:rPr>
              <w:t>61</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4</w:t>
            </w:r>
          </w:p>
        </w:tc>
        <w:tc>
          <w:tcPr>
            <w:tcW w:w="6563" w:type="dxa"/>
            <w:noWrap w:val="0"/>
            <w:vAlign w:val="center"/>
          </w:tcPr>
          <w:p>
            <w:pPr>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市</w:t>
            </w:r>
            <w:r>
              <w:rPr>
                <w:rFonts w:hint="eastAsia" w:ascii="方正仿宋简体" w:hAnsi="方正仿宋简体" w:eastAsia="方正仿宋简体" w:cs="方正仿宋简体"/>
                <w:color w:val="auto"/>
                <w:sz w:val="30"/>
                <w:szCs w:val="30"/>
              </w:rPr>
              <w:t>级股权投资基金企业及管理企业备案</w:t>
            </w:r>
            <w:r>
              <w:rPr>
                <w:rFonts w:hint="eastAsia" w:ascii="方正仿宋简体" w:hAnsi="方正仿宋简体" w:eastAsia="方正仿宋简体" w:cs="方正仿宋简体"/>
                <w:color w:val="auto"/>
                <w:sz w:val="30"/>
                <w:szCs w:val="30"/>
                <w:lang w:eastAsia="zh-CN"/>
              </w:rPr>
              <w:t>（自愿备案，非强制性）</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default" w:ascii="方正仿宋简体" w:hAnsi="方正仿宋简体" w:eastAsia="方正仿宋简体" w:cs="方正仿宋简体"/>
                <w:color w:val="auto"/>
                <w:sz w:val="30"/>
                <w:szCs w:val="30"/>
                <w:vertAlign w:val="baseline"/>
                <w:lang w:val="en" w:eastAsia="zh-CN"/>
              </w:rPr>
              <w:t>6</w:t>
            </w:r>
            <w:r>
              <w:rPr>
                <w:rFonts w:hint="eastAsia" w:ascii="方正仿宋简体" w:hAnsi="方正仿宋简体" w:eastAsia="方正仿宋简体" w:cs="方正仿宋简体"/>
                <w:color w:val="auto"/>
                <w:sz w:val="30"/>
                <w:szCs w:val="30"/>
                <w:vertAlign w:val="baseline"/>
                <w:lang w:val="en-US" w:eastAsia="zh-CN"/>
              </w:rPr>
              <w:t>2</w:t>
            </w:r>
          </w:p>
        </w:tc>
        <w:tc>
          <w:tcPr>
            <w:tcW w:w="320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仿宋简体" w:hAnsi="方正仿宋简体" w:eastAsia="方正仿宋简体" w:cs="方正仿宋简体"/>
                <w:color w:val="auto"/>
                <w:sz w:val="30"/>
                <w:szCs w:val="30"/>
                <w:vertAlign w:val="baseline"/>
                <w:lang w:val="en-US" w:eastAsia="zh-CN"/>
              </w:rPr>
            </w:pPr>
            <w:r>
              <w:rPr>
                <w:rFonts w:hint="eastAsia" w:ascii="方正仿宋简体" w:hAnsi="方正仿宋简体" w:eastAsia="方正仿宋简体" w:cs="方正仿宋简体"/>
                <w:color w:val="auto"/>
                <w:sz w:val="30"/>
                <w:szCs w:val="30"/>
                <w:vertAlign w:val="baseline"/>
                <w:lang w:val="en-US" w:eastAsia="zh-CN"/>
              </w:rPr>
              <w:t>5</w:t>
            </w:r>
          </w:p>
        </w:tc>
        <w:tc>
          <w:tcPr>
            <w:tcW w:w="6563" w:type="dxa"/>
            <w:noWrap w:val="0"/>
            <w:vAlign w:val="center"/>
          </w:tcPr>
          <w:p>
            <w:pPr>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省定价目录范围内重要商品与服务价</w:t>
            </w:r>
            <w:r>
              <w:rPr>
                <w:rFonts w:hint="eastAsia" w:ascii="方正仿宋简体" w:hAnsi="方正仿宋简体" w:eastAsia="方正仿宋简体" w:cs="方正仿宋简体"/>
                <w:color w:val="auto"/>
                <w:sz w:val="30"/>
                <w:szCs w:val="30"/>
                <w:lang w:eastAsia="zh-CN"/>
              </w:rPr>
              <w:t>格审定</w:t>
            </w:r>
          </w:p>
        </w:tc>
        <w:tc>
          <w:tcPr>
            <w:tcW w:w="26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仿宋简体" w:hAnsi="方正仿宋简体" w:eastAsia="方正仿宋简体" w:cs="方正仿宋简体"/>
                <w:color w:val="auto"/>
                <w:sz w:val="30"/>
                <w:szCs w:val="30"/>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rPr>
          <w:rFonts w:hint="eastAsia" w:ascii="方正小标宋简体" w:hAnsi="方正小标宋简体" w:eastAsia="方正小标宋简体" w:cs="仿宋"/>
          <w:color w:val="auto"/>
          <w:sz w:val="36"/>
          <w:szCs w:val="44"/>
          <w:lang w:val="en-US" w:eastAsia="zh-CN"/>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rPr>
          <w:color w:val="auto"/>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9A"/>
    <w:rsid w:val="00033DFC"/>
    <w:rsid w:val="00052CBB"/>
    <w:rsid w:val="0009425F"/>
    <w:rsid w:val="000B345C"/>
    <w:rsid w:val="000C729A"/>
    <w:rsid w:val="00116193"/>
    <w:rsid w:val="0021762C"/>
    <w:rsid w:val="002349C3"/>
    <w:rsid w:val="0033659C"/>
    <w:rsid w:val="0040672E"/>
    <w:rsid w:val="004163F3"/>
    <w:rsid w:val="004961A9"/>
    <w:rsid w:val="004A79BB"/>
    <w:rsid w:val="00576040"/>
    <w:rsid w:val="005F786E"/>
    <w:rsid w:val="0060141E"/>
    <w:rsid w:val="006A1234"/>
    <w:rsid w:val="006D5954"/>
    <w:rsid w:val="00751016"/>
    <w:rsid w:val="0075734A"/>
    <w:rsid w:val="007B2A5B"/>
    <w:rsid w:val="008F6004"/>
    <w:rsid w:val="008F659F"/>
    <w:rsid w:val="0092378A"/>
    <w:rsid w:val="009A0310"/>
    <w:rsid w:val="009C600B"/>
    <w:rsid w:val="00A1437A"/>
    <w:rsid w:val="00B308C4"/>
    <w:rsid w:val="00C66A0D"/>
    <w:rsid w:val="00D96164"/>
    <w:rsid w:val="00F32D78"/>
    <w:rsid w:val="02BE0672"/>
    <w:rsid w:val="1EDF14FC"/>
    <w:rsid w:val="1FFE0613"/>
    <w:rsid w:val="29305647"/>
    <w:rsid w:val="29FD49FE"/>
    <w:rsid w:val="2B974035"/>
    <w:rsid w:val="2BFE6FC5"/>
    <w:rsid w:val="33FF338B"/>
    <w:rsid w:val="33FF9724"/>
    <w:rsid w:val="37D1769A"/>
    <w:rsid w:val="37FF5227"/>
    <w:rsid w:val="38FF0B61"/>
    <w:rsid w:val="3ABF68FE"/>
    <w:rsid w:val="3DFE8FD1"/>
    <w:rsid w:val="3E7FBABB"/>
    <w:rsid w:val="3FC3E3DB"/>
    <w:rsid w:val="3FF77C6E"/>
    <w:rsid w:val="3FFF7881"/>
    <w:rsid w:val="3FFFFCF8"/>
    <w:rsid w:val="47807F61"/>
    <w:rsid w:val="496C5B4A"/>
    <w:rsid w:val="49FE326A"/>
    <w:rsid w:val="52F58233"/>
    <w:rsid w:val="59463D49"/>
    <w:rsid w:val="5ABD8AEB"/>
    <w:rsid w:val="5ADB4F8D"/>
    <w:rsid w:val="5BCA0C03"/>
    <w:rsid w:val="5BFFAB18"/>
    <w:rsid w:val="5DE2725F"/>
    <w:rsid w:val="5EA3334D"/>
    <w:rsid w:val="5F8F2B50"/>
    <w:rsid w:val="5FE7C0C6"/>
    <w:rsid w:val="5FEF29CB"/>
    <w:rsid w:val="5FFD34B9"/>
    <w:rsid w:val="63383DDC"/>
    <w:rsid w:val="637F484D"/>
    <w:rsid w:val="63F71B3D"/>
    <w:rsid w:val="663C393D"/>
    <w:rsid w:val="6BDBC759"/>
    <w:rsid w:val="6BDF5712"/>
    <w:rsid w:val="6BF94FBD"/>
    <w:rsid w:val="6DFE99AE"/>
    <w:rsid w:val="6DFF02FD"/>
    <w:rsid w:val="6FE573AE"/>
    <w:rsid w:val="6FF729B0"/>
    <w:rsid w:val="717514AA"/>
    <w:rsid w:val="74FAFBED"/>
    <w:rsid w:val="754FAE85"/>
    <w:rsid w:val="75DF6B66"/>
    <w:rsid w:val="75E9FD00"/>
    <w:rsid w:val="75ECA93A"/>
    <w:rsid w:val="76F0BA05"/>
    <w:rsid w:val="776161B0"/>
    <w:rsid w:val="77AECF61"/>
    <w:rsid w:val="77F4A039"/>
    <w:rsid w:val="79CF03EA"/>
    <w:rsid w:val="79E780B6"/>
    <w:rsid w:val="7A4F4229"/>
    <w:rsid w:val="7B1F271E"/>
    <w:rsid w:val="7B6B70FF"/>
    <w:rsid w:val="7B6F4547"/>
    <w:rsid w:val="7BED8D6F"/>
    <w:rsid w:val="7BFE6114"/>
    <w:rsid w:val="7D7E1D9D"/>
    <w:rsid w:val="7DA94693"/>
    <w:rsid w:val="7DC71855"/>
    <w:rsid w:val="7DDFD1F8"/>
    <w:rsid w:val="7DE5BA61"/>
    <w:rsid w:val="7DEE0A39"/>
    <w:rsid w:val="7DFF36D1"/>
    <w:rsid w:val="7E3C68E0"/>
    <w:rsid w:val="7EEFA092"/>
    <w:rsid w:val="7EFBDBE2"/>
    <w:rsid w:val="7EFE0367"/>
    <w:rsid w:val="7F57579C"/>
    <w:rsid w:val="7F5FE1F3"/>
    <w:rsid w:val="7F72FC1B"/>
    <w:rsid w:val="7F7EA2B2"/>
    <w:rsid w:val="7F8E36C6"/>
    <w:rsid w:val="7FC83302"/>
    <w:rsid w:val="7FD7AE28"/>
    <w:rsid w:val="7FDE0F9B"/>
    <w:rsid w:val="7FF78C6D"/>
    <w:rsid w:val="7FF78F72"/>
    <w:rsid w:val="7FFB8A3C"/>
    <w:rsid w:val="7FFE2C86"/>
    <w:rsid w:val="7FFE3DE8"/>
    <w:rsid w:val="7FFFEF47"/>
    <w:rsid w:val="95E5CDFB"/>
    <w:rsid w:val="9BB9C204"/>
    <w:rsid w:val="9D7FA143"/>
    <w:rsid w:val="9FF7AD59"/>
    <w:rsid w:val="ABFE63C3"/>
    <w:rsid w:val="AE958860"/>
    <w:rsid w:val="AEFE73B9"/>
    <w:rsid w:val="B4FF31D1"/>
    <w:rsid w:val="B7AF8836"/>
    <w:rsid w:val="BAFB2843"/>
    <w:rsid w:val="BBEF4303"/>
    <w:rsid w:val="BBFD98E2"/>
    <w:rsid w:val="BDE7B691"/>
    <w:rsid w:val="BF3A2A42"/>
    <w:rsid w:val="BFEFC627"/>
    <w:rsid w:val="C7DFEF28"/>
    <w:rsid w:val="CA872361"/>
    <w:rsid w:val="CBE9507E"/>
    <w:rsid w:val="D3FE3B13"/>
    <w:rsid w:val="D6CDD84D"/>
    <w:rsid w:val="D76533B8"/>
    <w:rsid w:val="D7CD6281"/>
    <w:rsid w:val="D7FB5E2D"/>
    <w:rsid w:val="DABFD889"/>
    <w:rsid w:val="DBD548B5"/>
    <w:rsid w:val="DDADA23A"/>
    <w:rsid w:val="DDF7803E"/>
    <w:rsid w:val="DDFB82C4"/>
    <w:rsid w:val="DFD90FE4"/>
    <w:rsid w:val="DFDF959A"/>
    <w:rsid w:val="E3EE0BAC"/>
    <w:rsid w:val="EBBF2683"/>
    <w:rsid w:val="ECADA816"/>
    <w:rsid w:val="EE3FBB74"/>
    <w:rsid w:val="EF8F1185"/>
    <w:rsid w:val="EFBF106E"/>
    <w:rsid w:val="F1BE6EA3"/>
    <w:rsid w:val="F3D7E318"/>
    <w:rsid w:val="F3F1F3BB"/>
    <w:rsid w:val="F5B5657C"/>
    <w:rsid w:val="F5DF4736"/>
    <w:rsid w:val="F6B45EEF"/>
    <w:rsid w:val="F6FD3C1A"/>
    <w:rsid w:val="F7DE9FFE"/>
    <w:rsid w:val="FA5D4C6A"/>
    <w:rsid w:val="FBD76A63"/>
    <w:rsid w:val="FBFF34DB"/>
    <w:rsid w:val="FDD65FEC"/>
    <w:rsid w:val="FE9F8DEC"/>
    <w:rsid w:val="FEA5D9DA"/>
    <w:rsid w:val="FF25AED0"/>
    <w:rsid w:val="FF5BCEDA"/>
    <w:rsid w:val="FFBE102E"/>
    <w:rsid w:val="FFBF256D"/>
    <w:rsid w:val="FFBFDCDC"/>
    <w:rsid w:val="FFDCECCD"/>
    <w:rsid w:val="FFFD3B92"/>
    <w:rsid w:val="FFFDA375"/>
    <w:rsid w:val="FFFDD292"/>
    <w:rsid w:val="FFFF0B16"/>
    <w:rsid w:val="FFFF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Char"/>
    <w:basedOn w:val="1"/>
    <w:qFormat/>
    <w:uiPriority w:val="0"/>
    <w:pPr>
      <w:snapToGrid w:val="0"/>
      <w:spacing w:afterLines="50" w:line="360" w:lineRule="auto"/>
      <w:ind w:firstLine="480" w:firstLineChars="200"/>
    </w:pPr>
  </w:style>
  <w:style w:type="paragraph" w:customStyle="1" w:styleId="8">
    <w:name w:val="Char1"/>
    <w:basedOn w:val="1"/>
    <w:qFormat/>
    <w:uiPriority w:val="0"/>
    <w:pPr>
      <w:snapToGrid w:val="0"/>
      <w:spacing w:afterLines="50" w:line="360" w:lineRule="auto"/>
      <w:ind w:firstLine="480" w:firstLineChars="200"/>
    </w:pPr>
    <w:rPr>
      <w:rFonts w:ascii="Times New Roman" w:hAnsi="Times New Roman" w:eastAsia="仿宋_GB2312" w:cs="Times New Roman"/>
      <w:sz w:val="32"/>
      <w:szCs w:val="32"/>
    </w:rPr>
  </w:style>
  <w:style w:type="paragraph" w:customStyle="1" w:styleId="9">
    <w:name w:val="Char2"/>
    <w:basedOn w:val="1"/>
    <w:qFormat/>
    <w:uiPriority w:val="0"/>
    <w:pPr>
      <w:snapToGrid w:val="0"/>
      <w:spacing w:afterLines="50" w:line="360" w:lineRule="auto"/>
      <w:ind w:firstLine="480" w:firstLineChars="200"/>
    </w:pPr>
    <w:rPr>
      <w:rFonts w:ascii="Times New Roman" w:hAnsi="Times New Roman" w:eastAsia="仿宋_GB2312" w:cs="Times New Roman"/>
      <w:sz w:val="32"/>
      <w:szCs w:val="32"/>
    </w:rPr>
  </w:style>
  <w:style w:type="character" w:customStyle="1" w:styleId="10">
    <w:name w:val="页码1"/>
    <w:basedOn w:val="6"/>
    <w:qFormat/>
    <w:uiPriority w:val="0"/>
  </w:style>
  <w:style w:type="character" w:customStyle="1" w:styleId="11">
    <w:name w:val="页眉 Char"/>
    <w:link w:val="3"/>
    <w:semiHidden/>
    <w:qFormat/>
    <w:uiPriority w:val="0"/>
    <w:rPr>
      <w:sz w:val="18"/>
      <w:szCs w:val="18"/>
    </w:rPr>
  </w:style>
  <w:style w:type="character" w:customStyle="1" w:styleId="12">
    <w:name w:val="页脚 Char"/>
    <w:link w:val="2"/>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46</Pages>
  <Words>34959</Words>
  <Characters>35575</Characters>
  <Lines>253</Lines>
  <Paragraphs>71</Paragraphs>
  <TotalTime>97</TotalTime>
  <ScaleCrop>false</ScaleCrop>
  <LinksUpToDate>false</LinksUpToDate>
  <CharactersWithSpaces>35606</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2022-05-21T16:14:00Z</dcterms:created>
  <dc:creator>User</dc:creator>
  <cp:lastModifiedBy>nuttertools</cp:lastModifiedBy>
  <cp:lastPrinted>2020-12-21T15:06:00Z</cp:lastPrinted>
  <dcterms:modified xsi:type="dcterms:W3CDTF">2025-03-24T10:05:35Z</dcterms:modified>
  <dc:title>河北省发展和改革委员会权责清单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591C4976D21BBE16EFBDE067D2823EC3</vt:lpwstr>
  </property>
</Properties>
</file>